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6" w:lineRule="exact"/>
        <w:rPr>
          <w:sz w:val="24"/>
          <w:szCs w:val="24"/>
          <w:color w:val="auto"/>
        </w:rPr>
      </w:pPr>
    </w:p>
    <w:p>
      <w:pPr>
        <w:jc w:val="center"/>
        <w:ind w:right="6"/>
        <w:spacing w:after="0" w:line="343" w:lineRule="exact"/>
        <w:rPr>
          <w:sz w:val="20"/>
          <w:szCs w:val="20"/>
          <w:color w:val="auto"/>
        </w:rPr>
      </w:pPr>
      <w:r>
        <w:rPr>
          <w:rFonts w:ascii="宋体" w:cs="宋体" w:eastAsia="宋体" w:hAnsi="宋体"/>
          <w:sz w:val="30"/>
          <w:szCs w:val="30"/>
          <w:color w:val="auto"/>
        </w:rPr>
        <w:t>上海交通大学</w:t>
      </w:r>
    </w:p>
    <w:p>
      <w:pPr>
        <w:spacing w:after="0" w:line="282" w:lineRule="exact"/>
        <w:rPr>
          <w:sz w:val="24"/>
          <w:szCs w:val="24"/>
          <w:color w:val="auto"/>
        </w:rPr>
      </w:pPr>
    </w:p>
    <w:p>
      <w:pPr>
        <w:jc w:val="center"/>
        <w:ind w:right="6"/>
        <w:spacing w:after="0" w:line="343" w:lineRule="exact"/>
        <w:rPr>
          <w:sz w:val="20"/>
          <w:szCs w:val="20"/>
          <w:color w:val="auto"/>
        </w:rPr>
      </w:pPr>
      <w:r>
        <w:rPr>
          <w:rFonts w:ascii="宋体" w:cs="宋体" w:eastAsia="宋体" w:hAnsi="宋体"/>
          <w:sz w:val="30"/>
          <w:szCs w:val="30"/>
          <w:color w:val="auto"/>
        </w:rPr>
        <w:t>博士研究生培养过程管理实施细则</w:t>
      </w:r>
    </w:p>
    <w:p>
      <w:pPr>
        <w:spacing w:after="0" w:line="274" w:lineRule="exact"/>
        <w:rPr>
          <w:sz w:val="24"/>
          <w:szCs w:val="24"/>
          <w:color w:val="auto"/>
        </w:rPr>
      </w:pPr>
    </w:p>
    <w:p>
      <w:pPr>
        <w:jc w:val="center"/>
        <w:ind w:right="6"/>
        <w:spacing w:after="0" w:line="364" w:lineRule="exact"/>
        <w:rPr>
          <w:sz w:val="20"/>
          <w:szCs w:val="20"/>
          <w:color w:val="auto"/>
        </w:rPr>
      </w:pPr>
      <w:r>
        <w:rPr>
          <w:rFonts w:ascii="宋体" w:cs="宋体" w:eastAsia="宋体" w:hAnsi="宋体"/>
          <w:sz w:val="30"/>
          <w:szCs w:val="30"/>
          <w:color w:val="auto"/>
        </w:rPr>
        <w:t>（</w:t>
      </w:r>
      <w:r>
        <w:rPr>
          <w:rFonts w:ascii="Arial" w:cs="Arial" w:eastAsia="Arial" w:hAnsi="Arial"/>
          <w:sz w:val="30"/>
          <w:szCs w:val="30"/>
          <w:color w:val="auto"/>
        </w:rPr>
        <w:t xml:space="preserve">2019 </w:t>
      </w:r>
      <w:r>
        <w:rPr>
          <w:rFonts w:ascii="宋体" w:cs="宋体" w:eastAsia="宋体" w:hAnsi="宋体"/>
          <w:sz w:val="30"/>
          <w:szCs w:val="30"/>
          <w:color w:val="auto"/>
        </w:rPr>
        <w:t>年</w:t>
      </w:r>
      <w:r>
        <w:rPr>
          <w:rFonts w:ascii="Arial" w:cs="Arial" w:eastAsia="Arial" w:hAnsi="Arial"/>
          <w:sz w:val="30"/>
          <w:szCs w:val="30"/>
          <w:color w:val="auto"/>
        </w:rPr>
        <w:t xml:space="preserve"> 6 </w:t>
      </w:r>
      <w:r>
        <w:rPr>
          <w:rFonts w:ascii="宋体" w:cs="宋体" w:eastAsia="宋体" w:hAnsi="宋体"/>
          <w:sz w:val="30"/>
          <w:szCs w:val="30"/>
          <w:color w:val="auto"/>
        </w:rPr>
        <w:t>月</w:t>
      </w:r>
      <w:r>
        <w:rPr>
          <w:rFonts w:ascii="Arial" w:cs="Arial" w:eastAsia="Arial" w:hAnsi="Arial"/>
          <w:sz w:val="30"/>
          <w:szCs w:val="30"/>
          <w:color w:val="auto"/>
        </w:rPr>
        <w:t xml:space="preserve"> 3 </w:t>
      </w:r>
      <w:r>
        <w:rPr>
          <w:rFonts w:ascii="宋体" w:cs="宋体" w:eastAsia="宋体" w:hAnsi="宋体"/>
          <w:sz w:val="30"/>
          <w:szCs w:val="30"/>
          <w:color w:val="auto"/>
        </w:rPr>
        <w:t>日）</w:t>
      </w:r>
    </w:p>
    <w:p>
      <w:pPr>
        <w:spacing w:after="0" w:line="312" w:lineRule="exact"/>
        <w:rPr>
          <w:sz w:val="24"/>
          <w:szCs w:val="24"/>
          <w:color w:val="auto"/>
        </w:rPr>
      </w:pPr>
    </w:p>
    <w:p>
      <w:pPr>
        <w:ind w:left="840"/>
        <w:spacing w:after="0" w:line="263" w:lineRule="exact"/>
        <w:rPr>
          <w:sz w:val="20"/>
          <w:szCs w:val="20"/>
          <w:color w:val="auto"/>
        </w:rPr>
      </w:pPr>
      <w:r>
        <w:rPr>
          <w:rFonts w:ascii="宋体" w:cs="宋体" w:eastAsia="宋体" w:hAnsi="宋体"/>
          <w:sz w:val="23"/>
          <w:szCs w:val="23"/>
          <w:color w:val="auto"/>
        </w:rPr>
        <w:t>为进一步加强博士研究生培养过程的质量控制，提升博士研究生的培养质量，</w:t>
      </w:r>
    </w:p>
    <w:p>
      <w:pPr>
        <w:spacing w:after="0" w:line="362" w:lineRule="exact"/>
        <w:rPr>
          <w:sz w:val="24"/>
          <w:szCs w:val="24"/>
          <w:color w:val="auto"/>
        </w:rPr>
      </w:pPr>
    </w:p>
    <w:p>
      <w:pPr>
        <w:jc w:val="center"/>
        <w:ind w:right="6"/>
        <w:spacing w:after="0" w:line="280" w:lineRule="exact"/>
        <w:rPr>
          <w:sz w:val="20"/>
          <w:szCs w:val="20"/>
          <w:color w:val="auto"/>
        </w:rPr>
      </w:pPr>
      <w:r>
        <w:rPr>
          <w:rFonts w:ascii="宋体" w:cs="宋体" w:eastAsia="宋体" w:hAnsi="宋体"/>
          <w:sz w:val="23"/>
          <w:szCs w:val="23"/>
          <w:color w:val="auto"/>
        </w:rPr>
        <w:t>根据《上海交通大学关于攻读博士学位研究生培养工作的规定》（沪交研〔</w:t>
      </w:r>
      <w:r>
        <w:rPr>
          <w:rFonts w:ascii="Times New Roman" w:cs="Times New Roman" w:eastAsia="Times New Roman" w:hAnsi="Times New Roman"/>
          <w:sz w:val="23"/>
          <w:szCs w:val="23"/>
          <w:color w:val="auto"/>
        </w:rPr>
        <w:t>2017</w:t>
      </w:r>
      <w:r>
        <w:rPr>
          <w:rFonts w:ascii="宋体" w:cs="宋体" w:eastAsia="宋体" w:hAnsi="宋体"/>
          <w:sz w:val="23"/>
          <w:szCs w:val="23"/>
          <w:color w:val="auto"/>
        </w:rPr>
        <w:t>〕</w:t>
      </w:r>
    </w:p>
    <w:p>
      <w:pPr>
        <w:spacing w:after="0" w:line="336" w:lineRule="exact"/>
        <w:rPr>
          <w:sz w:val="24"/>
          <w:szCs w:val="24"/>
          <w:color w:val="auto"/>
        </w:rPr>
      </w:pPr>
    </w:p>
    <w:p>
      <w:pPr>
        <w:ind w:left="780" w:hanging="420"/>
        <w:spacing w:after="0" w:line="292" w:lineRule="exact"/>
        <w:tabs>
          <w:tab w:leader="none" w:pos="780" w:val="left"/>
        </w:tabs>
        <w:numPr>
          <w:ilvl w:val="0"/>
          <w:numId w:val="1"/>
        </w:numPr>
        <w:rPr>
          <w:rFonts w:ascii="Times New Roman" w:cs="Times New Roman" w:eastAsia="Times New Roman" w:hAnsi="Times New Roman"/>
          <w:sz w:val="24"/>
          <w:szCs w:val="24"/>
          <w:color w:val="auto"/>
        </w:rPr>
      </w:pPr>
      <w:r>
        <w:rPr>
          <w:rFonts w:ascii="宋体" w:cs="宋体" w:eastAsia="宋体" w:hAnsi="宋体"/>
          <w:sz w:val="24"/>
          <w:szCs w:val="24"/>
          <w:color w:val="auto"/>
        </w:rPr>
        <w:t>号），结合近年实施情况，特就各环节的具体实施落实制定本细则。</w:t>
      </w:r>
    </w:p>
    <w:p>
      <w:pPr>
        <w:spacing w:after="0" w:line="341" w:lineRule="exact"/>
        <w:rPr>
          <w:sz w:val="24"/>
          <w:szCs w:val="24"/>
          <w:color w:val="auto"/>
        </w:rPr>
      </w:pPr>
    </w:p>
    <w:p>
      <w:pPr>
        <w:ind w:left="360"/>
        <w:spacing w:after="0" w:line="274" w:lineRule="exact"/>
        <w:rPr>
          <w:sz w:val="20"/>
          <w:szCs w:val="20"/>
          <w:color w:val="auto"/>
        </w:rPr>
      </w:pPr>
      <w:r>
        <w:rPr>
          <w:rFonts w:ascii="宋体" w:cs="宋体" w:eastAsia="宋体" w:hAnsi="宋体"/>
          <w:sz w:val="24"/>
          <w:szCs w:val="24"/>
          <w:color w:val="auto"/>
        </w:rPr>
        <w:t>一、资格考试</w:t>
      </w:r>
    </w:p>
    <w:p>
      <w:pPr>
        <w:spacing w:after="0" w:line="350" w:lineRule="exact"/>
        <w:rPr>
          <w:sz w:val="24"/>
          <w:szCs w:val="24"/>
          <w:color w:val="auto"/>
        </w:rPr>
      </w:pPr>
    </w:p>
    <w:p>
      <w:pPr>
        <w:jc w:val="both"/>
        <w:ind w:left="720" w:right="366" w:hanging="360"/>
        <w:spacing w:after="0" w:line="510" w:lineRule="exact"/>
        <w:tabs>
          <w:tab w:leader="none" w:pos="720" w:val="left"/>
        </w:tabs>
        <w:numPr>
          <w:ilvl w:val="0"/>
          <w:numId w:val="2"/>
        </w:numPr>
        <w:rPr>
          <w:rFonts w:ascii="Times New Roman" w:cs="Times New Roman" w:eastAsia="Times New Roman" w:hAnsi="Times New Roman"/>
          <w:sz w:val="24"/>
          <w:szCs w:val="24"/>
          <w:color w:val="auto"/>
        </w:rPr>
      </w:pPr>
      <w:r>
        <w:rPr>
          <w:rFonts w:ascii="宋体" w:cs="宋体" w:eastAsia="宋体" w:hAnsi="宋体"/>
          <w:sz w:val="24"/>
          <w:szCs w:val="24"/>
          <w:color w:val="auto"/>
        </w:rPr>
        <w:t>普博生的资格考试原则上应于入学后第二学年第一学期结束前完成，最迟应于第三学年第一学期内完成；直博生的资格考试原则上应于入学后第二学年第二学期结束前完成，最迟应于第三学年第二学期内完成。</w:t>
      </w:r>
    </w:p>
    <w:p>
      <w:pPr>
        <w:spacing w:after="0" w:line="343" w:lineRule="exact"/>
        <w:rPr>
          <w:rFonts w:ascii="Times New Roman" w:cs="Times New Roman" w:eastAsia="Times New Roman" w:hAnsi="Times New Roman"/>
          <w:sz w:val="24"/>
          <w:szCs w:val="24"/>
          <w:color w:val="auto"/>
        </w:rPr>
      </w:pPr>
    </w:p>
    <w:p>
      <w:pPr>
        <w:jc w:val="both"/>
        <w:ind w:left="720" w:right="366" w:hanging="360"/>
        <w:spacing w:after="0" w:line="510" w:lineRule="exact"/>
        <w:tabs>
          <w:tab w:leader="none" w:pos="720" w:val="left"/>
        </w:tabs>
        <w:numPr>
          <w:ilvl w:val="0"/>
          <w:numId w:val="2"/>
        </w:numPr>
        <w:rPr>
          <w:rFonts w:ascii="Times New Roman" w:cs="Times New Roman" w:eastAsia="Times New Roman" w:hAnsi="Times New Roman"/>
          <w:sz w:val="24"/>
          <w:szCs w:val="24"/>
          <w:color w:val="auto"/>
        </w:rPr>
      </w:pPr>
      <w:r>
        <w:rPr>
          <w:rFonts w:ascii="宋体" w:cs="宋体" w:eastAsia="宋体" w:hAnsi="宋体"/>
          <w:sz w:val="24"/>
          <w:szCs w:val="24"/>
          <w:color w:val="auto"/>
        </w:rPr>
        <w:t>参加资格考试时，学生应已按培养计划进度完成专业基础课的学习。未完成专业基础课学习者、因故休学者或有其它特殊原因者，可申请推迟参加资格考试。参加国际联培的博士生原则上应在访学前通过资格考试。</w:t>
      </w:r>
    </w:p>
    <w:p>
      <w:pPr>
        <w:spacing w:after="0" w:line="343" w:lineRule="exact"/>
        <w:rPr>
          <w:rFonts w:ascii="Times New Roman" w:cs="Times New Roman" w:eastAsia="Times New Roman" w:hAnsi="Times New Roman"/>
          <w:sz w:val="24"/>
          <w:szCs w:val="24"/>
          <w:color w:val="auto"/>
        </w:rPr>
      </w:pPr>
    </w:p>
    <w:p>
      <w:pPr>
        <w:jc w:val="both"/>
        <w:ind w:left="720" w:right="366" w:hanging="360"/>
        <w:spacing w:after="0" w:line="539" w:lineRule="exact"/>
        <w:tabs>
          <w:tab w:leader="none" w:pos="720" w:val="left"/>
        </w:tabs>
        <w:numPr>
          <w:ilvl w:val="0"/>
          <w:numId w:val="2"/>
        </w:numPr>
        <w:rPr>
          <w:rFonts w:ascii="Times New Roman" w:cs="Times New Roman" w:eastAsia="Times New Roman" w:hAnsi="Times New Roman"/>
          <w:sz w:val="24"/>
          <w:szCs w:val="24"/>
          <w:color w:val="auto"/>
        </w:rPr>
      </w:pPr>
      <w:r>
        <w:rPr>
          <w:rFonts w:ascii="宋体" w:cs="宋体" w:eastAsia="宋体" w:hAnsi="宋体"/>
          <w:sz w:val="24"/>
          <w:szCs w:val="24"/>
          <w:color w:val="auto"/>
        </w:rPr>
        <w:t>院系或学科应组成资格考试领导小组，具体负责制定本院系或学科的资格考试实施办法；校内外专家组成的资格考试专家小组负责资格考试的笔试、面试等具体工作。交叉学科平台博士生的资格考试专家小组应由至少两个一级学科相关的专家组成。</w:t>
      </w:r>
    </w:p>
    <w:p>
      <w:pPr>
        <w:spacing w:after="0" w:line="344" w:lineRule="exact"/>
        <w:rPr>
          <w:rFonts w:ascii="Times New Roman" w:cs="Times New Roman" w:eastAsia="Times New Roman" w:hAnsi="Times New Roman"/>
          <w:sz w:val="24"/>
          <w:szCs w:val="24"/>
          <w:color w:val="auto"/>
        </w:rPr>
      </w:pPr>
    </w:p>
    <w:p>
      <w:pPr>
        <w:jc w:val="both"/>
        <w:ind w:left="720" w:right="366" w:hanging="360"/>
        <w:spacing w:after="0" w:line="539" w:lineRule="exact"/>
        <w:tabs>
          <w:tab w:leader="none" w:pos="720" w:val="left"/>
        </w:tabs>
        <w:numPr>
          <w:ilvl w:val="0"/>
          <w:numId w:val="2"/>
        </w:numPr>
        <w:rPr>
          <w:rFonts w:ascii="Times New Roman" w:cs="Times New Roman" w:eastAsia="Times New Roman" w:hAnsi="Times New Roman"/>
          <w:sz w:val="24"/>
          <w:szCs w:val="24"/>
          <w:color w:val="auto"/>
        </w:rPr>
      </w:pPr>
      <w:r>
        <w:rPr>
          <w:rFonts w:ascii="宋体" w:cs="宋体" w:eastAsia="宋体" w:hAnsi="宋体"/>
          <w:sz w:val="24"/>
          <w:szCs w:val="24"/>
          <w:color w:val="auto"/>
        </w:rPr>
        <w:t>资格考试的笔试内容应有一定的广度、深度和难度，重点考核学生基础理论和专门知识掌握情况，对本学科发展动态的了解情况，以及独立分析与解决问题的能力。普博生考题应涵盖本学科培养方案中至少</w:t>
      </w:r>
      <w:r>
        <w:rPr>
          <w:rFonts w:ascii="Times New Roman" w:cs="Times New Roman" w:eastAsia="Times New Roman" w:hAnsi="Times New Roman"/>
          <w:sz w:val="24"/>
          <w:szCs w:val="24"/>
          <w:color w:val="auto"/>
        </w:rPr>
        <w:t xml:space="preserve"> 2 </w:t>
      </w:r>
      <w:r>
        <w:rPr>
          <w:rFonts w:ascii="宋体" w:cs="宋体" w:eastAsia="宋体" w:hAnsi="宋体"/>
          <w:sz w:val="24"/>
          <w:szCs w:val="24"/>
          <w:color w:val="auto"/>
        </w:rPr>
        <w:t>门专业基础课，直博生考题应涵盖本学科培养方案中至少</w:t>
      </w:r>
      <w:r>
        <w:rPr>
          <w:rFonts w:ascii="Times New Roman" w:cs="Times New Roman" w:eastAsia="Times New Roman" w:hAnsi="Times New Roman"/>
          <w:sz w:val="24"/>
          <w:szCs w:val="24"/>
          <w:color w:val="auto"/>
        </w:rPr>
        <w:t xml:space="preserve"> 3 </w:t>
      </w:r>
      <w:r>
        <w:rPr>
          <w:rFonts w:ascii="宋体" w:cs="宋体" w:eastAsia="宋体" w:hAnsi="宋体"/>
          <w:sz w:val="24"/>
          <w:szCs w:val="24"/>
          <w:color w:val="auto"/>
        </w:rPr>
        <w:t>门专业基础课，交叉学科平台资格</w:t>
      </w:r>
    </w:p>
    <w:p>
      <w:pPr>
        <w:spacing w:after="0" w:line="334" w:lineRule="exact"/>
        <w:rPr>
          <w:sz w:val="24"/>
          <w:szCs w:val="24"/>
          <w:color w:val="auto"/>
        </w:rPr>
      </w:pPr>
    </w:p>
    <w:p>
      <w:pPr>
        <w:ind w:left="720"/>
        <w:spacing w:after="0" w:line="292" w:lineRule="exact"/>
        <w:rPr>
          <w:sz w:val="20"/>
          <w:szCs w:val="20"/>
          <w:color w:val="auto"/>
        </w:rPr>
      </w:pPr>
      <w:r>
        <w:rPr>
          <w:rFonts w:ascii="宋体" w:cs="宋体" w:eastAsia="宋体" w:hAnsi="宋体"/>
          <w:sz w:val="24"/>
          <w:szCs w:val="24"/>
          <w:color w:val="auto"/>
        </w:rPr>
        <w:t>考试考题应涉及至少两个一级学科的课程内容。考试时长不少于</w:t>
      </w:r>
      <w:r>
        <w:rPr>
          <w:rFonts w:ascii="Times New Roman" w:cs="Times New Roman" w:eastAsia="Times New Roman" w:hAnsi="Times New Roman"/>
          <w:sz w:val="24"/>
          <w:szCs w:val="24"/>
          <w:color w:val="auto"/>
        </w:rPr>
        <w:t xml:space="preserve"> 2 </w:t>
      </w:r>
      <w:r>
        <w:rPr>
          <w:rFonts w:ascii="宋体" w:cs="宋体" w:eastAsia="宋体" w:hAnsi="宋体"/>
          <w:sz w:val="24"/>
          <w:szCs w:val="24"/>
          <w:color w:val="auto"/>
        </w:rPr>
        <w:t>小时。笔</w:t>
      </w:r>
    </w:p>
    <w:p>
      <w:pPr>
        <w:spacing w:after="0" w:line="200" w:lineRule="exact"/>
        <w:rPr>
          <w:sz w:val="24"/>
          <w:szCs w:val="24"/>
          <w:color w:val="auto"/>
        </w:rPr>
      </w:pPr>
    </w:p>
    <w:p>
      <w:pPr>
        <w:spacing w:after="0" w:line="205" w:lineRule="exact"/>
        <w:rPr>
          <w:sz w:val="24"/>
          <w:szCs w:val="24"/>
          <w:color w:val="auto"/>
        </w:rPr>
      </w:pPr>
    </w:p>
    <w:p>
      <w:pPr>
        <w:jc w:val="center"/>
        <w:ind w:right="-93"/>
        <w:spacing w:after="0" w:line="188" w:lineRule="exact"/>
        <w:rPr>
          <w:sz w:val="20"/>
          <w:szCs w:val="20"/>
          <w:color w:val="auto"/>
        </w:rPr>
      </w:pPr>
      <w:r>
        <w:rPr>
          <w:rFonts w:ascii="等线" w:cs="等线" w:eastAsia="等线" w:hAnsi="等线"/>
          <w:sz w:val="18"/>
          <w:szCs w:val="18"/>
          <w:b w:val="1"/>
          <w:bCs w:val="1"/>
          <w:color w:val="auto"/>
        </w:rPr>
        <w:t xml:space="preserve">1 </w:t>
      </w:r>
      <w:r>
        <w:rPr>
          <w:rFonts w:ascii="等线" w:cs="等线" w:eastAsia="等线" w:hAnsi="等线"/>
          <w:sz w:val="18"/>
          <w:szCs w:val="18"/>
          <w:color w:val="auto"/>
        </w:rPr>
        <w:t>/</w:t>
      </w:r>
      <w:r>
        <w:rPr>
          <w:rFonts w:ascii="等线" w:cs="等线" w:eastAsia="等线" w:hAnsi="等线"/>
          <w:sz w:val="18"/>
          <w:szCs w:val="18"/>
          <w:b w:val="1"/>
          <w:bCs w:val="1"/>
          <w:color w:val="auto"/>
        </w:rPr>
        <w:t xml:space="preserve"> 4</w:t>
      </w:r>
    </w:p>
    <w:p>
      <w:pPr>
        <w:sectPr>
          <w:pgSz w:w="11900" w:h="16838" w:orient="portrait"/>
          <w:cols w:equalWidth="0" w:num="1">
            <w:col w:w="9026"/>
          </w:cols>
          <w:pgMar w:left="1440" w:top="1440" w:right="1440" w:bottom="702" w:gutter="0" w:footer="0" w:header="0"/>
        </w:sectPr>
      </w:pPr>
    </w:p>
    <w:bookmarkStart w:id="1" w:name="page2"/>
    <w:bookmarkEnd w:id="1"/>
    <w:p>
      <w:pPr>
        <w:spacing w:after="0" w:line="149" w:lineRule="exact"/>
        <w:rPr>
          <w:sz w:val="20"/>
          <w:szCs w:val="20"/>
          <w:color w:val="auto"/>
        </w:rPr>
      </w:pPr>
    </w:p>
    <w:p>
      <w:pPr>
        <w:ind w:left="720"/>
        <w:spacing w:after="0" w:line="274" w:lineRule="exact"/>
        <w:rPr>
          <w:sz w:val="20"/>
          <w:szCs w:val="20"/>
          <w:color w:val="auto"/>
        </w:rPr>
      </w:pPr>
      <w:r>
        <w:rPr>
          <w:rFonts w:ascii="宋体" w:cs="宋体" w:eastAsia="宋体" w:hAnsi="宋体"/>
          <w:sz w:val="24"/>
          <w:szCs w:val="24"/>
          <w:color w:val="auto"/>
        </w:rPr>
        <w:t>试原则上由院系或一级学科统一组织。</w:t>
      </w:r>
    </w:p>
    <w:p>
      <w:pPr>
        <w:spacing w:after="0" w:line="350"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二、论文开题</w:t>
      </w:r>
    </w:p>
    <w:p>
      <w:pPr>
        <w:spacing w:after="0" w:line="350" w:lineRule="exact"/>
        <w:rPr>
          <w:sz w:val="20"/>
          <w:szCs w:val="20"/>
          <w:color w:val="auto"/>
        </w:rPr>
      </w:pPr>
    </w:p>
    <w:p>
      <w:pPr>
        <w:jc w:val="both"/>
        <w:ind w:left="720" w:right="366" w:hanging="360"/>
        <w:spacing w:after="0" w:line="555" w:lineRule="exact"/>
        <w:tabs>
          <w:tab w:leader="none" w:pos="720" w:val="left"/>
        </w:tabs>
        <w:numPr>
          <w:ilvl w:val="0"/>
          <w:numId w:val="3"/>
        </w:numPr>
        <w:rPr>
          <w:rFonts w:ascii="Times New Roman" w:cs="Times New Roman" w:eastAsia="Times New Roman" w:hAnsi="Times New Roman"/>
          <w:sz w:val="24"/>
          <w:szCs w:val="24"/>
          <w:color w:val="auto"/>
        </w:rPr>
      </w:pPr>
      <w:r>
        <w:rPr>
          <w:rFonts w:ascii="宋体" w:cs="宋体" w:eastAsia="宋体" w:hAnsi="宋体"/>
          <w:sz w:val="24"/>
          <w:szCs w:val="24"/>
          <w:color w:val="auto"/>
        </w:rPr>
        <w:t>博士论文开题工作应于资格考试通过后一年内完成。因故休学者或有其它特殊原因者，可申请推迟博士论文开题。参加国际联培的博士生若出访前未进行开题报告，可在合作高校举行论文开题工作，我校至少有三位具有博士生指导资格的专家须通过视频参加开题报告，开题报告结果应及时向学院、研究生院报备。</w:t>
      </w:r>
    </w:p>
    <w:p>
      <w:pPr>
        <w:spacing w:after="0" w:line="340" w:lineRule="exact"/>
        <w:rPr>
          <w:rFonts w:ascii="Times New Roman" w:cs="Times New Roman" w:eastAsia="Times New Roman" w:hAnsi="Times New Roman"/>
          <w:sz w:val="24"/>
          <w:szCs w:val="24"/>
          <w:color w:val="auto"/>
        </w:rPr>
      </w:pPr>
    </w:p>
    <w:p>
      <w:pPr>
        <w:ind w:left="720" w:hanging="360"/>
        <w:spacing w:after="0" w:line="292" w:lineRule="exact"/>
        <w:tabs>
          <w:tab w:leader="none" w:pos="720" w:val="left"/>
        </w:tabs>
        <w:numPr>
          <w:ilvl w:val="0"/>
          <w:numId w:val="3"/>
        </w:numPr>
        <w:rPr>
          <w:rFonts w:ascii="Times New Roman" w:cs="Times New Roman" w:eastAsia="Times New Roman" w:hAnsi="Times New Roman"/>
          <w:sz w:val="24"/>
          <w:szCs w:val="24"/>
          <w:color w:val="auto"/>
        </w:rPr>
      </w:pPr>
      <w:r>
        <w:rPr>
          <w:rFonts w:ascii="宋体" w:cs="宋体" w:eastAsia="宋体" w:hAnsi="宋体"/>
          <w:sz w:val="24"/>
          <w:szCs w:val="24"/>
          <w:color w:val="auto"/>
        </w:rPr>
        <w:t>论文开题报告会应由院系或二级学科统一组织。开题报告专家组应由</w:t>
      </w:r>
      <w:r>
        <w:rPr>
          <w:rFonts w:ascii="Times New Roman" w:cs="Times New Roman" w:eastAsia="Times New Roman" w:hAnsi="Times New Roman"/>
          <w:sz w:val="24"/>
          <w:szCs w:val="24"/>
          <w:color w:val="auto"/>
        </w:rPr>
        <w:t xml:space="preserve"> 3-5 </w:t>
      </w:r>
      <w:r>
        <w:rPr>
          <w:rFonts w:ascii="宋体" w:cs="宋体" w:eastAsia="宋体" w:hAnsi="宋体"/>
          <w:sz w:val="24"/>
          <w:szCs w:val="24"/>
          <w:color w:val="auto"/>
        </w:rPr>
        <w:t>名</w:t>
      </w:r>
    </w:p>
    <w:p>
      <w:pPr>
        <w:spacing w:after="0" w:line="338" w:lineRule="exact"/>
        <w:rPr>
          <w:rFonts w:ascii="Times New Roman" w:cs="Times New Roman" w:eastAsia="Times New Roman" w:hAnsi="Times New Roman"/>
          <w:sz w:val="24"/>
          <w:szCs w:val="24"/>
          <w:color w:val="auto"/>
        </w:rPr>
      </w:pPr>
    </w:p>
    <w:p>
      <w:pPr>
        <w:jc w:val="both"/>
        <w:ind w:left="720" w:right="366"/>
        <w:spacing w:after="0" w:line="510" w:lineRule="exact"/>
        <w:rPr>
          <w:rFonts w:ascii="Times New Roman" w:cs="Times New Roman" w:eastAsia="Times New Roman" w:hAnsi="Times New Roman"/>
          <w:sz w:val="24"/>
          <w:szCs w:val="24"/>
          <w:color w:val="auto"/>
        </w:rPr>
      </w:pPr>
      <w:r>
        <w:rPr>
          <w:rFonts w:ascii="宋体" w:cs="宋体" w:eastAsia="宋体" w:hAnsi="宋体"/>
          <w:sz w:val="24"/>
          <w:szCs w:val="24"/>
          <w:color w:val="auto"/>
        </w:rPr>
        <w:t>具有博士生指导资格的教师组成，本院系相同二级学科同批次开题报告会的专家组成员尽可能相同；交叉学科博士生的开题报告，专家组须由至少两个一级学科的专家组成。</w:t>
      </w:r>
    </w:p>
    <w:p>
      <w:pPr>
        <w:spacing w:after="0" w:line="342" w:lineRule="exact"/>
        <w:rPr>
          <w:rFonts w:ascii="Times New Roman" w:cs="Times New Roman" w:eastAsia="Times New Roman" w:hAnsi="Times New Roman"/>
          <w:sz w:val="24"/>
          <w:szCs w:val="24"/>
          <w:color w:val="auto"/>
        </w:rPr>
      </w:pPr>
    </w:p>
    <w:p>
      <w:pPr>
        <w:jc w:val="both"/>
        <w:ind w:left="720" w:right="366" w:hanging="360"/>
        <w:spacing w:after="0" w:line="453" w:lineRule="exact"/>
        <w:tabs>
          <w:tab w:leader="none" w:pos="720" w:val="left"/>
        </w:tabs>
        <w:numPr>
          <w:ilvl w:val="0"/>
          <w:numId w:val="3"/>
        </w:numPr>
        <w:rPr>
          <w:rFonts w:ascii="Times New Roman" w:cs="Times New Roman" w:eastAsia="Times New Roman" w:hAnsi="Times New Roman"/>
          <w:sz w:val="24"/>
          <w:szCs w:val="24"/>
          <w:color w:val="auto"/>
        </w:rPr>
      </w:pPr>
      <w:r>
        <w:rPr>
          <w:rFonts w:ascii="宋体" w:cs="宋体" w:eastAsia="宋体" w:hAnsi="宋体"/>
          <w:sz w:val="24"/>
          <w:szCs w:val="24"/>
          <w:color w:val="auto"/>
        </w:rPr>
        <w:t>参加论文开题的博士生应撰写论文开题报告，并在开题报告会上就所选课题进行详细报告。论文开题报告会先由博士生就论文选题背景与拟开展研究情</w:t>
      </w:r>
    </w:p>
    <w:p>
      <w:pPr>
        <w:spacing w:after="0" w:line="337" w:lineRule="exact"/>
        <w:rPr>
          <w:sz w:val="20"/>
          <w:szCs w:val="20"/>
          <w:color w:val="auto"/>
        </w:rPr>
      </w:pPr>
    </w:p>
    <w:p>
      <w:pPr>
        <w:ind w:left="720"/>
        <w:spacing w:after="0" w:line="292" w:lineRule="exact"/>
        <w:rPr>
          <w:sz w:val="20"/>
          <w:szCs w:val="20"/>
          <w:color w:val="auto"/>
        </w:rPr>
      </w:pPr>
      <w:r>
        <w:rPr>
          <w:rFonts w:ascii="宋体" w:cs="宋体" w:eastAsia="宋体" w:hAnsi="宋体"/>
          <w:sz w:val="24"/>
          <w:szCs w:val="24"/>
          <w:color w:val="auto"/>
        </w:rPr>
        <w:t>况介绍至少</w:t>
      </w:r>
      <w:r>
        <w:rPr>
          <w:rFonts w:ascii="Times New Roman" w:cs="Times New Roman" w:eastAsia="Times New Roman" w:hAnsi="Times New Roman"/>
          <w:sz w:val="24"/>
          <w:szCs w:val="24"/>
          <w:color w:val="auto"/>
        </w:rPr>
        <w:t xml:space="preserve"> 15 </w:t>
      </w:r>
      <w:r>
        <w:rPr>
          <w:rFonts w:ascii="宋体" w:cs="宋体" w:eastAsia="宋体" w:hAnsi="宋体"/>
          <w:sz w:val="24"/>
          <w:szCs w:val="24"/>
          <w:color w:val="auto"/>
        </w:rPr>
        <w:t>分钟，再由专家组及参会师生针对陈述内容及其它相关问题提</w:t>
      </w:r>
    </w:p>
    <w:p>
      <w:pPr>
        <w:spacing w:after="0" w:line="332" w:lineRule="exact"/>
        <w:rPr>
          <w:sz w:val="20"/>
          <w:szCs w:val="20"/>
          <w:color w:val="auto"/>
        </w:rPr>
      </w:pPr>
    </w:p>
    <w:p>
      <w:pPr>
        <w:ind w:left="720"/>
        <w:spacing w:after="0" w:line="292" w:lineRule="exact"/>
        <w:rPr>
          <w:sz w:val="20"/>
          <w:szCs w:val="20"/>
          <w:color w:val="auto"/>
        </w:rPr>
      </w:pPr>
      <w:r>
        <w:rPr>
          <w:rFonts w:ascii="宋体" w:cs="宋体" w:eastAsia="宋体" w:hAnsi="宋体"/>
          <w:sz w:val="24"/>
          <w:szCs w:val="24"/>
          <w:color w:val="auto"/>
        </w:rPr>
        <w:t>问至少</w:t>
      </w:r>
      <w:r>
        <w:rPr>
          <w:rFonts w:ascii="Times New Roman" w:cs="Times New Roman" w:eastAsia="Times New Roman" w:hAnsi="Times New Roman"/>
          <w:sz w:val="24"/>
          <w:szCs w:val="24"/>
          <w:color w:val="auto"/>
        </w:rPr>
        <w:t xml:space="preserve"> 15 </w:t>
      </w:r>
      <w:r>
        <w:rPr>
          <w:rFonts w:ascii="宋体" w:cs="宋体" w:eastAsia="宋体" w:hAnsi="宋体"/>
          <w:sz w:val="24"/>
          <w:szCs w:val="24"/>
          <w:color w:val="auto"/>
        </w:rPr>
        <w:t>分钟。</w:t>
      </w:r>
    </w:p>
    <w:p>
      <w:pPr>
        <w:spacing w:after="0" w:line="339"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三、年度考核</w:t>
      </w:r>
    </w:p>
    <w:p>
      <w:pPr>
        <w:spacing w:after="0" w:line="350" w:lineRule="exact"/>
        <w:rPr>
          <w:sz w:val="20"/>
          <w:szCs w:val="20"/>
          <w:color w:val="auto"/>
        </w:rPr>
      </w:pPr>
    </w:p>
    <w:p>
      <w:pPr>
        <w:ind w:left="720" w:right="246" w:hanging="360"/>
        <w:spacing w:after="0" w:line="539" w:lineRule="exact"/>
        <w:tabs>
          <w:tab w:leader="none" w:pos="720" w:val="left"/>
        </w:tabs>
        <w:numPr>
          <w:ilvl w:val="0"/>
          <w:numId w:val="4"/>
        </w:numPr>
        <w:rPr>
          <w:rFonts w:ascii="Times New Roman" w:cs="Times New Roman" w:eastAsia="Times New Roman" w:hAnsi="Times New Roman"/>
          <w:sz w:val="24"/>
          <w:szCs w:val="24"/>
          <w:color w:val="auto"/>
        </w:rPr>
      </w:pPr>
      <w:r>
        <w:rPr>
          <w:rFonts w:ascii="宋体" w:cs="宋体" w:eastAsia="宋体" w:hAnsi="宋体"/>
          <w:sz w:val="24"/>
          <w:szCs w:val="24"/>
          <w:color w:val="auto"/>
        </w:rPr>
        <w:t>年度考核工作由院系或二级学科或课题组统一组织，建议在每年</w:t>
      </w:r>
      <w:r>
        <w:rPr>
          <w:rFonts w:ascii="Times New Roman" w:cs="Times New Roman" w:eastAsia="Times New Roman" w:hAnsi="Times New Roman"/>
          <w:sz w:val="24"/>
          <w:szCs w:val="24"/>
          <w:color w:val="auto"/>
        </w:rPr>
        <w:t xml:space="preserve"> 12 </w:t>
      </w:r>
      <w:r>
        <w:rPr>
          <w:rFonts w:ascii="宋体" w:cs="宋体" w:eastAsia="宋体" w:hAnsi="宋体"/>
          <w:sz w:val="24"/>
          <w:szCs w:val="24"/>
          <w:color w:val="auto"/>
        </w:rPr>
        <w:t>月举行，论文开题通过满六个月以上者应参加。因故休学者（不含海外访学）或有其它特殊原因者，可申请免于参加年度考核。正在海外访学的博士生，也须提交年度考核报告。</w:t>
      </w:r>
    </w:p>
    <w:p>
      <w:pPr>
        <w:spacing w:after="0" w:line="335" w:lineRule="exact"/>
        <w:rPr>
          <w:rFonts w:ascii="Times New Roman" w:cs="Times New Roman" w:eastAsia="Times New Roman" w:hAnsi="Times New Roman"/>
          <w:sz w:val="24"/>
          <w:szCs w:val="24"/>
          <w:color w:val="auto"/>
        </w:rPr>
      </w:pPr>
    </w:p>
    <w:p>
      <w:pPr>
        <w:ind w:left="720" w:hanging="360"/>
        <w:spacing w:after="0" w:line="292" w:lineRule="exact"/>
        <w:tabs>
          <w:tab w:leader="none" w:pos="720" w:val="left"/>
        </w:tabs>
        <w:numPr>
          <w:ilvl w:val="0"/>
          <w:numId w:val="4"/>
        </w:numPr>
        <w:rPr>
          <w:rFonts w:ascii="Times New Roman" w:cs="Times New Roman" w:eastAsia="Times New Roman" w:hAnsi="Times New Roman"/>
          <w:sz w:val="24"/>
          <w:szCs w:val="24"/>
          <w:color w:val="auto"/>
        </w:rPr>
      </w:pPr>
      <w:r>
        <w:rPr>
          <w:rFonts w:ascii="宋体" w:cs="宋体" w:eastAsia="宋体" w:hAnsi="宋体"/>
          <w:sz w:val="24"/>
          <w:szCs w:val="24"/>
          <w:color w:val="auto"/>
        </w:rPr>
        <w:t>博士生需撰写年度考核报告，详细阐述本年度论文研究工作的进展情况及所</w:t>
      </w:r>
    </w:p>
    <w:p>
      <w:pPr>
        <w:spacing w:after="0" w:line="341" w:lineRule="exact"/>
        <w:rPr>
          <w:sz w:val="20"/>
          <w:szCs w:val="20"/>
          <w:color w:val="auto"/>
        </w:rPr>
      </w:pPr>
    </w:p>
    <w:p>
      <w:pPr>
        <w:ind w:left="720"/>
        <w:spacing w:after="0" w:line="274" w:lineRule="exact"/>
        <w:rPr>
          <w:sz w:val="20"/>
          <w:szCs w:val="20"/>
          <w:color w:val="auto"/>
        </w:rPr>
      </w:pPr>
      <w:r>
        <w:rPr>
          <w:rFonts w:ascii="宋体" w:cs="宋体" w:eastAsia="宋体" w:hAnsi="宋体"/>
          <w:sz w:val="24"/>
          <w:szCs w:val="24"/>
          <w:color w:val="auto"/>
        </w:rPr>
        <w:t>取得的阶段性成果，并以书面形式递交给所属学科。</w:t>
      </w:r>
    </w:p>
    <w:p>
      <w:pPr>
        <w:spacing w:after="0" w:line="200" w:lineRule="exact"/>
        <w:rPr>
          <w:sz w:val="20"/>
          <w:szCs w:val="20"/>
          <w:color w:val="auto"/>
        </w:rPr>
      </w:pPr>
    </w:p>
    <w:p>
      <w:pPr>
        <w:spacing w:after="0" w:line="216" w:lineRule="exact"/>
        <w:rPr>
          <w:sz w:val="20"/>
          <w:szCs w:val="20"/>
          <w:color w:val="auto"/>
        </w:rPr>
      </w:pPr>
    </w:p>
    <w:p>
      <w:pPr>
        <w:jc w:val="center"/>
        <w:ind w:right="-93"/>
        <w:spacing w:after="0" w:line="188" w:lineRule="exact"/>
        <w:rPr>
          <w:sz w:val="20"/>
          <w:szCs w:val="20"/>
          <w:color w:val="auto"/>
        </w:rPr>
      </w:pPr>
      <w:r>
        <w:rPr>
          <w:rFonts w:ascii="等线" w:cs="等线" w:eastAsia="等线" w:hAnsi="等线"/>
          <w:sz w:val="18"/>
          <w:szCs w:val="18"/>
          <w:b w:val="1"/>
          <w:bCs w:val="1"/>
          <w:color w:val="auto"/>
        </w:rPr>
        <w:t xml:space="preserve">2 </w:t>
      </w:r>
      <w:r>
        <w:rPr>
          <w:rFonts w:ascii="等线" w:cs="等线" w:eastAsia="等线" w:hAnsi="等线"/>
          <w:sz w:val="18"/>
          <w:szCs w:val="18"/>
          <w:color w:val="auto"/>
        </w:rPr>
        <w:t>/</w:t>
      </w:r>
      <w:r>
        <w:rPr>
          <w:rFonts w:ascii="等线" w:cs="等线" w:eastAsia="等线" w:hAnsi="等线"/>
          <w:sz w:val="18"/>
          <w:szCs w:val="18"/>
          <w:b w:val="1"/>
          <w:bCs w:val="1"/>
          <w:color w:val="auto"/>
        </w:rPr>
        <w:t xml:space="preserve"> 4</w:t>
      </w:r>
    </w:p>
    <w:p>
      <w:pPr>
        <w:sectPr>
          <w:pgSz w:w="11900" w:h="16838" w:orient="portrait"/>
          <w:cols w:equalWidth="0" w:num="1">
            <w:col w:w="9026"/>
          </w:cols>
          <w:pgMar w:left="1440" w:top="1440" w:right="1440" w:bottom="702" w:gutter="0" w:footer="0" w:header="0"/>
        </w:sectPr>
      </w:pPr>
    </w:p>
    <w:bookmarkStart w:id="2" w:name="page3"/>
    <w:bookmarkEnd w:id="2"/>
    <w:p>
      <w:pPr>
        <w:spacing w:after="0" w:line="149" w:lineRule="exact"/>
        <w:rPr>
          <w:sz w:val="20"/>
          <w:szCs w:val="20"/>
          <w:color w:val="auto"/>
        </w:rPr>
      </w:pPr>
    </w:p>
    <w:p>
      <w:pPr>
        <w:jc w:val="both"/>
        <w:ind w:left="720" w:right="366" w:hanging="360"/>
        <w:spacing w:after="0" w:line="510" w:lineRule="exact"/>
        <w:tabs>
          <w:tab w:leader="none" w:pos="720" w:val="left"/>
        </w:tabs>
        <w:numPr>
          <w:ilvl w:val="0"/>
          <w:numId w:val="5"/>
        </w:numPr>
        <w:rPr>
          <w:rFonts w:ascii="Times New Roman" w:cs="Times New Roman" w:eastAsia="Times New Roman" w:hAnsi="Times New Roman"/>
          <w:sz w:val="24"/>
          <w:szCs w:val="24"/>
          <w:color w:val="auto"/>
        </w:rPr>
      </w:pPr>
      <w:r>
        <w:rPr>
          <w:rFonts w:ascii="宋体" w:cs="宋体" w:eastAsia="宋体" w:hAnsi="宋体"/>
          <w:sz w:val="24"/>
          <w:szCs w:val="24"/>
          <w:color w:val="auto"/>
        </w:rPr>
        <w:t>年度报告考核小组及博士生导师应对年度报告做出综合评估，督促研究生顺利开展课题研究和学位论文撰写，并就考核做出</w:t>
      </w:r>
      <w:r>
        <w:rPr>
          <w:rFonts w:ascii="Arial" w:cs="Arial" w:eastAsia="Arial" w:hAnsi="Arial"/>
          <w:sz w:val="24"/>
          <w:szCs w:val="24"/>
          <w:color w:val="auto"/>
        </w:rPr>
        <w:t>“</w:t>
      </w:r>
      <w:r>
        <w:rPr>
          <w:rFonts w:ascii="宋体" w:cs="宋体" w:eastAsia="宋体" w:hAnsi="宋体"/>
          <w:sz w:val="24"/>
          <w:szCs w:val="24"/>
          <w:color w:val="auto"/>
        </w:rPr>
        <w:t>优秀</w:t>
      </w:r>
      <w:r>
        <w:rPr>
          <w:rFonts w:ascii="Arial" w:cs="Arial" w:eastAsia="Arial" w:hAnsi="Arial"/>
          <w:sz w:val="24"/>
          <w:szCs w:val="24"/>
          <w:color w:val="auto"/>
        </w:rPr>
        <w:t>”</w:t>
      </w:r>
      <w:r>
        <w:rPr>
          <w:rFonts w:ascii="宋体" w:cs="宋体" w:eastAsia="宋体" w:hAnsi="宋体"/>
          <w:sz w:val="24"/>
          <w:szCs w:val="24"/>
          <w:color w:val="auto"/>
        </w:rPr>
        <w:t>、</w:t>
      </w:r>
      <w:r>
        <w:rPr>
          <w:rFonts w:ascii="Arial" w:cs="Arial" w:eastAsia="Arial" w:hAnsi="Arial"/>
          <w:sz w:val="24"/>
          <w:szCs w:val="24"/>
          <w:color w:val="auto"/>
        </w:rPr>
        <w:t>“</w:t>
      </w:r>
      <w:r>
        <w:rPr>
          <w:rFonts w:ascii="宋体" w:cs="宋体" w:eastAsia="宋体" w:hAnsi="宋体"/>
          <w:sz w:val="24"/>
          <w:szCs w:val="24"/>
          <w:color w:val="auto"/>
        </w:rPr>
        <w:t>良好</w:t>
      </w:r>
      <w:r>
        <w:rPr>
          <w:rFonts w:ascii="Arial" w:cs="Arial" w:eastAsia="Arial" w:hAnsi="Arial"/>
          <w:sz w:val="24"/>
          <w:szCs w:val="24"/>
          <w:color w:val="auto"/>
        </w:rPr>
        <w:t>”</w:t>
      </w:r>
      <w:r>
        <w:rPr>
          <w:rFonts w:ascii="宋体" w:cs="宋体" w:eastAsia="宋体" w:hAnsi="宋体"/>
          <w:sz w:val="24"/>
          <w:szCs w:val="24"/>
          <w:color w:val="auto"/>
        </w:rPr>
        <w:t>、</w:t>
      </w:r>
      <w:r>
        <w:rPr>
          <w:rFonts w:ascii="Arial" w:cs="Arial" w:eastAsia="Arial" w:hAnsi="Arial"/>
          <w:sz w:val="24"/>
          <w:szCs w:val="24"/>
          <w:color w:val="auto"/>
        </w:rPr>
        <w:t>“</w:t>
      </w:r>
      <w:r>
        <w:rPr>
          <w:rFonts w:ascii="宋体" w:cs="宋体" w:eastAsia="宋体" w:hAnsi="宋体"/>
          <w:sz w:val="24"/>
          <w:szCs w:val="24"/>
          <w:color w:val="auto"/>
        </w:rPr>
        <w:t>合格</w:t>
      </w:r>
      <w:r>
        <w:rPr>
          <w:rFonts w:ascii="Arial" w:cs="Arial" w:eastAsia="Arial" w:hAnsi="Arial"/>
          <w:sz w:val="24"/>
          <w:szCs w:val="24"/>
          <w:color w:val="auto"/>
        </w:rPr>
        <w:t>”</w:t>
      </w:r>
      <w:r>
        <w:rPr>
          <w:rFonts w:ascii="宋体" w:cs="宋体" w:eastAsia="宋体" w:hAnsi="宋体"/>
          <w:sz w:val="24"/>
          <w:szCs w:val="24"/>
          <w:color w:val="auto"/>
        </w:rPr>
        <w:t>或</w:t>
      </w:r>
      <w:r>
        <w:rPr>
          <w:rFonts w:ascii="Arial" w:cs="Arial" w:eastAsia="Arial" w:hAnsi="Arial"/>
          <w:sz w:val="24"/>
          <w:szCs w:val="24"/>
          <w:color w:val="auto"/>
        </w:rPr>
        <w:t>“</w:t>
      </w:r>
      <w:r>
        <w:rPr>
          <w:rFonts w:ascii="宋体" w:cs="宋体" w:eastAsia="宋体" w:hAnsi="宋体"/>
          <w:sz w:val="24"/>
          <w:szCs w:val="24"/>
          <w:color w:val="auto"/>
        </w:rPr>
        <w:t>不合格</w:t>
      </w:r>
      <w:r>
        <w:rPr>
          <w:rFonts w:ascii="Arial" w:cs="Arial" w:eastAsia="Arial" w:hAnsi="Arial"/>
          <w:sz w:val="24"/>
          <w:szCs w:val="24"/>
          <w:color w:val="auto"/>
        </w:rPr>
        <w:t>”</w:t>
      </w:r>
      <w:r>
        <w:rPr>
          <w:rFonts w:ascii="宋体" w:cs="宋体" w:eastAsia="宋体" w:hAnsi="宋体"/>
          <w:sz w:val="24"/>
          <w:szCs w:val="24"/>
          <w:color w:val="auto"/>
        </w:rPr>
        <w:t>的结论。</w:t>
      </w:r>
    </w:p>
    <w:p>
      <w:pPr>
        <w:spacing w:after="0" w:line="343" w:lineRule="exact"/>
        <w:rPr>
          <w:rFonts w:ascii="Times New Roman" w:cs="Times New Roman" w:eastAsia="Times New Roman" w:hAnsi="Times New Roman"/>
          <w:sz w:val="24"/>
          <w:szCs w:val="24"/>
          <w:color w:val="auto"/>
        </w:rPr>
      </w:pPr>
    </w:p>
    <w:p>
      <w:pPr>
        <w:ind w:left="720" w:right="366" w:hanging="360"/>
        <w:spacing w:after="0" w:line="453" w:lineRule="exact"/>
        <w:tabs>
          <w:tab w:leader="none" w:pos="720" w:val="left"/>
        </w:tabs>
        <w:numPr>
          <w:ilvl w:val="0"/>
          <w:numId w:val="5"/>
        </w:numPr>
        <w:rPr>
          <w:rFonts w:ascii="Times New Roman" w:cs="Times New Roman" w:eastAsia="Times New Roman" w:hAnsi="Times New Roman"/>
          <w:sz w:val="24"/>
          <w:szCs w:val="24"/>
          <w:color w:val="auto"/>
        </w:rPr>
      </w:pPr>
      <w:r>
        <w:rPr>
          <w:rFonts w:ascii="宋体" w:cs="宋体" w:eastAsia="宋体" w:hAnsi="宋体"/>
          <w:sz w:val="24"/>
          <w:szCs w:val="24"/>
          <w:color w:val="auto"/>
        </w:rPr>
        <w:t>年度考核不合格者，应由年度报告考核小组根据学生具体情况，做出</w:t>
      </w:r>
      <w:r>
        <w:rPr>
          <w:rFonts w:ascii="Arial" w:cs="Arial" w:eastAsia="Arial" w:hAnsi="Arial"/>
          <w:sz w:val="24"/>
          <w:szCs w:val="24"/>
          <w:color w:val="auto"/>
        </w:rPr>
        <w:t>“</w:t>
      </w:r>
      <w:r>
        <w:rPr>
          <w:rFonts w:ascii="宋体" w:cs="宋体" w:eastAsia="宋体" w:hAnsi="宋体"/>
          <w:sz w:val="24"/>
          <w:szCs w:val="24"/>
          <w:color w:val="auto"/>
        </w:rPr>
        <w:t>建议转为硕士培养</w:t>
      </w:r>
      <w:r>
        <w:rPr>
          <w:rFonts w:ascii="Arial" w:cs="Arial" w:eastAsia="Arial" w:hAnsi="Arial"/>
          <w:sz w:val="24"/>
          <w:szCs w:val="24"/>
          <w:color w:val="auto"/>
        </w:rPr>
        <w:t>”</w:t>
      </w:r>
      <w:r>
        <w:rPr>
          <w:rFonts w:ascii="宋体" w:cs="宋体" w:eastAsia="宋体" w:hAnsi="宋体"/>
          <w:sz w:val="24"/>
          <w:szCs w:val="24"/>
          <w:color w:val="auto"/>
        </w:rPr>
        <w:t>或</w:t>
      </w:r>
      <w:r>
        <w:rPr>
          <w:rFonts w:ascii="Arial" w:cs="Arial" w:eastAsia="Arial" w:hAnsi="Arial"/>
          <w:sz w:val="24"/>
          <w:szCs w:val="24"/>
          <w:color w:val="auto"/>
        </w:rPr>
        <w:t>“</w:t>
      </w:r>
      <w:r>
        <w:rPr>
          <w:rFonts w:ascii="宋体" w:cs="宋体" w:eastAsia="宋体" w:hAnsi="宋体"/>
          <w:sz w:val="24"/>
          <w:szCs w:val="24"/>
          <w:color w:val="auto"/>
        </w:rPr>
        <w:t>建议退学</w:t>
      </w:r>
      <w:r>
        <w:rPr>
          <w:rFonts w:ascii="Arial" w:cs="Arial" w:eastAsia="Arial" w:hAnsi="Arial"/>
          <w:sz w:val="24"/>
          <w:szCs w:val="24"/>
          <w:color w:val="auto"/>
        </w:rPr>
        <w:t>”</w:t>
      </w:r>
      <w:r>
        <w:rPr>
          <w:rFonts w:ascii="宋体" w:cs="宋体" w:eastAsia="宋体" w:hAnsi="宋体"/>
          <w:sz w:val="24"/>
          <w:szCs w:val="24"/>
          <w:color w:val="auto"/>
        </w:rPr>
        <w:t>的意见。</w:t>
      </w:r>
    </w:p>
    <w:p>
      <w:pPr>
        <w:spacing w:after="0" w:line="342"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四、分流淘汰流程</w:t>
      </w:r>
    </w:p>
    <w:p>
      <w:pPr>
        <w:spacing w:after="0" w:line="351" w:lineRule="exact"/>
        <w:rPr>
          <w:sz w:val="20"/>
          <w:szCs w:val="20"/>
          <w:color w:val="auto"/>
        </w:rPr>
      </w:pPr>
    </w:p>
    <w:p>
      <w:pPr>
        <w:ind w:left="720" w:hanging="360"/>
        <w:spacing w:after="0" w:line="280" w:lineRule="exact"/>
        <w:tabs>
          <w:tab w:leader="none" w:pos="720" w:val="left"/>
        </w:tabs>
        <w:numPr>
          <w:ilvl w:val="0"/>
          <w:numId w:val="6"/>
        </w:numPr>
        <w:rPr>
          <w:rFonts w:ascii="Times New Roman" w:cs="Times New Roman" w:eastAsia="Times New Roman" w:hAnsi="Times New Roman"/>
          <w:sz w:val="23"/>
          <w:szCs w:val="23"/>
          <w:color w:val="auto"/>
        </w:rPr>
      </w:pPr>
      <w:r>
        <w:rPr>
          <w:rFonts w:ascii="宋体" w:cs="宋体" w:eastAsia="宋体" w:hAnsi="宋体"/>
          <w:sz w:val="23"/>
          <w:szCs w:val="23"/>
          <w:color w:val="auto"/>
        </w:rPr>
        <w:t>通过资格考试的普博生、直博生，进入论文选题工作，并准备参加论文开题。</w:t>
      </w:r>
    </w:p>
    <w:p>
      <w:pPr>
        <w:spacing w:after="0" w:line="344" w:lineRule="exact"/>
        <w:rPr>
          <w:rFonts w:ascii="Times New Roman" w:cs="Times New Roman" w:eastAsia="Times New Roman" w:hAnsi="Times New Roman"/>
          <w:sz w:val="23"/>
          <w:szCs w:val="23"/>
          <w:color w:val="auto"/>
        </w:rPr>
      </w:pPr>
    </w:p>
    <w:p>
      <w:pPr>
        <w:jc w:val="both"/>
        <w:ind w:left="720" w:right="366" w:hanging="360"/>
        <w:spacing w:after="0" w:line="575" w:lineRule="exact"/>
        <w:tabs>
          <w:tab w:leader="none" w:pos="720" w:val="left"/>
        </w:tabs>
        <w:numPr>
          <w:ilvl w:val="0"/>
          <w:numId w:val="6"/>
        </w:numPr>
        <w:rPr>
          <w:rFonts w:ascii="等线" w:cs="等线" w:eastAsia="等线" w:hAnsi="等线"/>
          <w:sz w:val="21"/>
          <w:szCs w:val="21"/>
          <w:color w:val="auto"/>
        </w:rPr>
      </w:pPr>
      <w:r>
        <w:rPr>
          <w:rFonts w:ascii="宋体" w:cs="宋体" w:eastAsia="宋体" w:hAnsi="宋体"/>
          <w:sz w:val="24"/>
          <w:szCs w:val="24"/>
          <w:color w:val="auto"/>
        </w:rPr>
        <w:t>对在资格考试、开题报告、年度考核中建议转为硕士生培养的学生，在结果公布起</w:t>
      </w:r>
      <w:r>
        <w:rPr>
          <w:rFonts w:ascii="Times New Roman" w:cs="Times New Roman" w:eastAsia="Times New Roman" w:hAnsi="Times New Roman"/>
          <w:sz w:val="24"/>
          <w:szCs w:val="24"/>
          <w:color w:val="auto"/>
        </w:rPr>
        <w:t xml:space="preserve"> 5 </w:t>
      </w:r>
      <w:r>
        <w:rPr>
          <w:rFonts w:ascii="宋体" w:cs="宋体" w:eastAsia="宋体" w:hAnsi="宋体"/>
          <w:sz w:val="24"/>
          <w:szCs w:val="24"/>
          <w:color w:val="auto"/>
        </w:rPr>
        <w:t>个工作日内，可向院系提出转为硕士生培养的申请，经导师同意、院系审核通过，报研究生院批准后，可转为同学科硕士研究生培养；具有专业硕士学位项目的学科，原则上应转为专业学位硕士生培养。转为硕士生培养后，应于</w:t>
      </w:r>
      <w:r>
        <w:rPr>
          <w:rFonts w:ascii="Times New Roman" w:cs="Times New Roman" w:eastAsia="Times New Roman" w:hAnsi="Times New Roman"/>
          <w:sz w:val="24"/>
          <w:szCs w:val="24"/>
          <w:color w:val="auto"/>
        </w:rPr>
        <w:t xml:space="preserve"> 2 </w:t>
      </w:r>
      <w:r>
        <w:rPr>
          <w:rFonts w:ascii="宋体" w:cs="宋体" w:eastAsia="宋体" w:hAnsi="宋体"/>
          <w:sz w:val="24"/>
          <w:szCs w:val="24"/>
          <w:color w:val="auto"/>
        </w:rPr>
        <w:t>年内完成硕士学业，但从博士入学算起，最长不超过</w:t>
      </w:r>
      <w:r>
        <w:rPr>
          <w:rFonts w:ascii="Times New Roman" w:cs="Times New Roman" w:eastAsia="Times New Roman" w:hAnsi="Times New Roman"/>
          <w:sz w:val="24"/>
          <w:szCs w:val="24"/>
          <w:color w:val="auto"/>
        </w:rPr>
        <w:t xml:space="preserve"> 5 </w:t>
      </w:r>
      <w:r>
        <w:rPr>
          <w:rFonts w:ascii="宋体" w:cs="宋体" w:eastAsia="宋体" w:hAnsi="宋体"/>
          <w:sz w:val="24"/>
          <w:szCs w:val="24"/>
          <w:color w:val="auto"/>
        </w:rPr>
        <w:t>年；学生在博士学习期间所取得的我校课程成绩与学分，经院系审定后，可用以满足硕士项目的课程学习要求。</w:t>
      </w:r>
    </w:p>
    <w:p>
      <w:pPr>
        <w:spacing w:after="0" w:line="349" w:lineRule="exact"/>
        <w:rPr>
          <w:rFonts w:ascii="等线" w:cs="等线" w:eastAsia="等线" w:hAnsi="等线"/>
          <w:sz w:val="21"/>
          <w:szCs w:val="21"/>
          <w:color w:val="auto"/>
        </w:rPr>
      </w:pPr>
    </w:p>
    <w:p>
      <w:pPr>
        <w:ind w:left="720" w:right="366"/>
        <w:spacing w:after="0" w:line="452" w:lineRule="exact"/>
        <w:rPr>
          <w:rFonts w:ascii="等线" w:cs="等线" w:eastAsia="等线" w:hAnsi="等线"/>
          <w:sz w:val="21"/>
          <w:szCs w:val="21"/>
          <w:color w:val="auto"/>
        </w:rPr>
      </w:pPr>
      <w:r>
        <w:rPr>
          <w:rFonts w:ascii="宋体" w:cs="宋体" w:eastAsia="宋体" w:hAnsi="宋体"/>
          <w:sz w:val="24"/>
          <w:szCs w:val="24"/>
          <w:color w:val="auto"/>
        </w:rPr>
        <w:t>学生未及时提出转硕申请，或学生提出申请后院系审核未通过，或研究生院审批未通过者，建议退学。</w:t>
      </w:r>
    </w:p>
    <w:p>
      <w:pPr>
        <w:spacing w:after="0" w:line="344" w:lineRule="exact"/>
        <w:rPr>
          <w:rFonts w:ascii="等线" w:cs="等线" w:eastAsia="等线" w:hAnsi="等线"/>
          <w:sz w:val="21"/>
          <w:szCs w:val="21"/>
          <w:color w:val="auto"/>
        </w:rPr>
      </w:pPr>
    </w:p>
    <w:p>
      <w:pPr>
        <w:jc w:val="both"/>
        <w:ind w:left="720" w:right="366" w:hanging="360"/>
        <w:spacing w:after="0" w:line="510" w:lineRule="exact"/>
        <w:tabs>
          <w:tab w:leader="none" w:pos="720" w:val="left"/>
        </w:tabs>
        <w:numPr>
          <w:ilvl w:val="0"/>
          <w:numId w:val="6"/>
        </w:numPr>
        <w:rPr>
          <w:rFonts w:ascii="Times New Roman" w:cs="Times New Roman" w:eastAsia="Times New Roman" w:hAnsi="Times New Roman"/>
          <w:sz w:val="24"/>
          <w:szCs w:val="24"/>
          <w:color w:val="auto"/>
        </w:rPr>
      </w:pPr>
      <w:r>
        <w:rPr>
          <w:rFonts w:ascii="宋体" w:cs="宋体" w:eastAsia="宋体" w:hAnsi="宋体"/>
          <w:sz w:val="24"/>
          <w:szCs w:val="24"/>
          <w:color w:val="auto"/>
        </w:rPr>
        <w:t>对于建议退学的学生，应于建议送达</w:t>
      </w:r>
      <w:r>
        <w:rPr>
          <w:rFonts w:ascii="Times New Roman" w:cs="Times New Roman" w:eastAsia="Times New Roman" w:hAnsi="Times New Roman"/>
          <w:sz w:val="24"/>
          <w:szCs w:val="24"/>
          <w:color w:val="auto"/>
        </w:rPr>
        <w:t xml:space="preserve"> 5 </w:t>
      </w:r>
      <w:r>
        <w:rPr>
          <w:rFonts w:ascii="宋体" w:cs="宋体" w:eastAsia="宋体" w:hAnsi="宋体"/>
          <w:sz w:val="24"/>
          <w:szCs w:val="24"/>
          <w:color w:val="auto"/>
        </w:rPr>
        <w:t>个工作日内提出退学申请；年度考核中建议退学学生满足结业条件的，可申请结业并颁发结业证书。未及时提出退学申请的，按</w:t>
      </w:r>
      <w:r>
        <w:rPr>
          <w:rFonts w:ascii="Arial" w:cs="Arial" w:eastAsia="Arial" w:hAnsi="Arial"/>
          <w:sz w:val="24"/>
          <w:szCs w:val="24"/>
          <w:color w:val="auto"/>
        </w:rPr>
        <w:t>“</w:t>
      </w:r>
      <w:r>
        <w:rPr>
          <w:rFonts w:ascii="宋体" w:cs="宋体" w:eastAsia="宋体" w:hAnsi="宋体"/>
          <w:sz w:val="24"/>
          <w:szCs w:val="24"/>
          <w:color w:val="auto"/>
        </w:rPr>
        <w:t>应予退学</w:t>
      </w:r>
      <w:r>
        <w:rPr>
          <w:rFonts w:ascii="Arial" w:cs="Arial" w:eastAsia="Arial" w:hAnsi="Arial"/>
          <w:sz w:val="24"/>
          <w:szCs w:val="24"/>
          <w:color w:val="auto"/>
        </w:rPr>
        <w:t>”</w:t>
      </w:r>
      <w:r>
        <w:rPr>
          <w:rFonts w:ascii="宋体" w:cs="宋体" w:eastAsia="宋体" w:hAnsi="宋体"/>
          <w:sz w:val="24"/>
          <w:szCs w:val="24"/>
          <w:color w:val="auto"/>
        </w:rPr>
        <w:t>处理。</w:t>
      </w:r>
    </w:p>
    <w:p>
      <w:pPr>
        <w:spacing w:after="0" w:line="335" w:lineRule="exact"/>
        <w:rPr>
          <w:rFonts w:ascii="Times New Roman" w:cs="Times New Roman" w:eastAsia="Times New Roman" w:hAnsi="Times New Roman"/>
          <w:sz w:val="24"/>
          <w:szCs w:val="24"/>
          <w:color w:val="auto"/>
        </w:rPr>
      </w:pPr>
    </w:p>
    <w:p>
      <w:pPr>
        <w:ind w:left="720" w:hanging="360"/>
        <w:spacing w:after="0" w:line="292" w:lineRule="exact"/>
        <w:tabs>
          <w:tab w:leader="none" w:pos="720" w:val="left"/>
        </w:tabs>
        <w:numPr>
          <w:ilvl w:val="0"/>
          <w:numId w:val="6"/>
        </w:numPr>
        <w:rPr>
          <w:rFonts w:ascii="Times New Roman" w:cs="Times New Roman" w:eastAsia="Times New Roman" w:hAnsi="Times New Roman"/>
          <w:sz w:val="24"/>
          <w:szCs w:val="24"/>
          <w:color w:val="auto"/>
        </w:rPr>
      </w:pPr>
      <w:r>
        <w:rPr>
          <w:rFonts w:ascii="宋体" w:cs="宋体" w:eastAsia="宋体" w:hAnsi="宋体"/>
          <w:sz w:val="24"/>
          <w:szCs w:val="24"/>
          <w:color w:val="auto"/>
        </w:rPr>
        <w:t>我校国际博士生的培养工作采用与国内生趋同的管理模式。转为硕士生培养</w:t>
      </w:r>
    </w:p>
    <w:p>
      <w:pPr>
        <w:spacing w:after="0" w:line="334" w:lineRule="exact"/>
        <w:rPr>
          <w:sz w:val="20"/>
          <w:szCs w:val="20"/>
          <w:color w:val="auto"/>
        </w:rPr>
      </w:pPr>
    </w:p>
    <w:p>
      <w:pPr>
        <w:ind w:left="720"/>
        <w:spacing w:after="0" w:line="292" w:lineRule="exact"/>
        <w:rPr>
          <w:sz w:val="20"/>
          <w:szCs w:val="20"/>
          <w:color w:val="auto"/>
        </w:rPr>
      </w:pPr>
      <w:r>
        <w:rPr>
          <w:rFonts w:ascii="宋体" w:cs="宋体" w:eastAsia="宋体" w:hAnsi="宋体"/>
          <w:sz w:val="24"/>
          <w:szCs w:val="24"/>
          <w:color w:val="auto"/>
        </w:rPr>
        <w:t>的国际博士研究生应在转硕</w:t>
      </w:r>
      <w:r>
        <w:rPr>
          <w:rFonts w:ascii="Times New Roman" w:cs="Times New Roman" w:eastAsia="Times New Roman" w:hAnsi="Times New Roman"/>
          <w:sz w:val="24"/>
          <w:szCs w:val="24"/>
          <w:color w:val="auto"/>
        </w:rPr>
        <w:t xml:space="preserve"> 1.5 </w:t>
      </w:r>
      <w:r>
        <w:rPr>
          <w:rFonts w:ascii="宋体" w:cs="宋体" w:eastAsia="宋体" w:hAnsi="宋体"/>
          <w:sz w:val="24"/>
          <w:szCs w:val="24"/>
          <w:color w:val="auto"/>
        </w:rPr>
        <w:t>年后、</w:t>
      </w:r>
      <w:r>
        <w:rPr>
          <w:rFonts w:ascii="Times New Roman" w:cs="Times New Roman" w:eastAsia="Times New Roman" w:hAnsi="Times New Roman"/>
          <w:sz w:val="24"/>
          <w:szCs w:val="24"/>
          <w:color w:val="auto"/>
        </w:rPr>
        <w:t xml:space="preserve">2 </w:t>
      </w:r>
      <w:r>
        <w:rPr>
          <w:rFonts w:ascii="宋体" w:cs="宋体" w:eastAsia="宋体" w:hAnsi="宋体"/>
          <w:sz w:val="24"/>
          <w:szCs w:val="24"/>
          <w:color w:val="auto"/>
        </w:rPr>
        <w:t>年内完成硕士学业。</w:t>
      </w:r>
    </w:p>
    <w:p>
      <w:pPr>
        <w:spacing w:after="0" w:line="339"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五、其它</w:t>
      </w:r>
    </w:p>
    <w:p>
      <w:pPr>
        <w:spacing w:after="0" w:line="200" w:lineRule="exact"/>
        <w:rPr>
          <w:sz w:val="20"/>
          <w:szCs w:val="20"/>
          <w:color w:val="auto"/>
        </w:rPr>
      </w:pPr>
    </w:p>
    <w:p>
      <w:pPr>
        <w:spacing w:after="0" w:line="216" w:lineRule="exact"/>
        <w:rPr>
          <w:sz w:val="20"/>
          <w:szCs w:val="20"/>
          <w:color w:val="auto"/>
        </w:rPr>
      </w:pPr>
    </w:p>
    <w:p>
      <w:pPr>
        <w:jc w:val="center"/>
        <w:ind w:right="-93"/>
        <w:spacing w:after="0" w:line="188" w:lineRule="exact"/>
        <w:rPr>
          <w:sz w:val="20"/>
          <w:szCs w:val="20"/>
          <w:color w:val="auto"/>
        </w:rPr>
      </w:pPr>
      <w:r>
        <w:rPr>
          <w:rFonts w:ascii="等线" w:cs="等线" w:eastAsia="等线" w:hAnsi="等线"/>
          <w:sz w:val="18"/>
          <w:szCs w:val="18"/>
          <w:b w:val="1"/>
          <w:bCs w:val="1"/>
          <w:color w:val="auto"/>
        </w:rPr>
        <w:t xml:space="preserve">3 </w:t>
      </w:r>
      <w:r>
        <w:rPr>
          <w:rFonts w:ascii="等线" w:cs="等线" w:eastAsia="等线" w:hAnsi="等线"/>
          <w:sz w:val="18"/>
          <w:szCs w:val="18"/>
          <w:color w:val="auto"/>
        </w:rPr>
        <w:t>/</w:t>
      </w:r>
      <w:r>
        <w:rPr>
          <w:rFonts w:ascii="等线" w:cs="等线" w:eastAsia="等线" w:hAnsi="等线"/>
          <w:sz w:val="18"/>
          <w:szCs w:val="18"/>
          <w:b w:val="1"/>
          <w:bCs w:val="1"/>
          <w:color w:val="auto"/>
        </w:rPr>
        <w:t xml:space="preserve"> 4</w:t>
      </w:r>
    </w:p>
    <w:p>
      <w:pPr>
        <w:sectPr>
          <w:pgSz w:w="11900" w:h="16838" w:orient="portrait"/>
          <w:cols w:equalWidth="0" w:num="1">
            <w:col w:w="9026"/>
          </w:cols>
          <w:pgMar w:left="1440" w:top="1440" w:right="1440" w:bottom="702" w:gutter="0" w:footer="0" w:header="0"/>
        </w:sectPr>
      </w:pPr>
    </w:p>
    <w:bookmarkStart w:id="3" w:name="page4"/>
    <w:bookmarkEnd w:id="3"/>
    <w:p>
      <w:pPr>
        <w:spacing w:after="0" w:line="149" w:lineRule="exact"/>
        <w:rPr>
          <w:sz w:val="20"/>
          <w:szCs w:val="20"/>
          <w:color w:val="auto"/>
        </w:rPr>
      </w:pPr>
    </w:p>
    <w:p>
      <w:pPr>
        <w:jc w:val="both"/>
        <w:ind w:left="720" w:right="366" w:hanging="360"/>
        <w:spacing w:after="0" w:line="510" w:lineRule="exact"/>
        <w:tabs>
          <w:tab w:leader="none" w:pos="720" w:val="left"/>
        </w:tabs>
        <w:numPr>
          <w:ilvl w:val="0"/>
          <w:numId w:val="7"/>
        </w:numPr>
        <w:rPr>
          <w:rFonts w:ascii="Times New Roman" w:cs="Times New Roman" w:eastAsia="Times New Roman" w:hAnsi="Times New Roman"/>
          <w:sz w:val="24"/>
          <w:szCs w:val="24"/>
          <w:color w:val="auto"/>
        </w:rPr>
      </w:pPr>
      <w:r>
        <w:rPr>
          <w:rFonts w:ascii="宋体" w:cs="宋体" w:eastAsia="宋体" w:hAnsi="宋体"/>
          <w:sz w:val="24"/>
          <w:szCs w:val="24"/>
          <w:color w:val="auto"/>
        </w:rPr>
        <w:t>各院系可在本细则基础上，制定本院系各学科资格考试、开题报告、年度考核的具体实施办法；已有实施办法但与本细则不一致的，请适时修订。制定或修订后的实施办法，须在研究生院报备。</w:t>
      </w:r>
    </w:p>
    <w:p>
      <w:pPr>
        <w:spacing w:after="0" w:line="343" w:lineRule="exact"/>
        <w:rPr>
          <w:rFonts w:ascii="Times New Roman" w:cs="Times New Roman" w:eastAsia="Times New Roman" w:hAnsi="Times New Roman"/>
          <w:sz w:val="24"/>
          <w:szCs w:val="24"/>
          <w:color w:val="auto"/>
        </w:rPr>
      </w:pPr>
    </w:p>
    <w:p>
      <w:pPr>
        <w:ind w:left="720" w:right="366" w:hanging="360"/>
        <w:spacing w:after="0" w:line="453" w:lineRule="exact"/>
        <w:tabs>
          <w:tab w:leader="none" w:pos="720" w:val="left"/>
        </w:tabs>
        <w:numPr>
          <w:ilvl w:val="0"/>
          <w:numId w:val="7"/>
        </w:numPr>
        <w:rPr>
          <w:rFonts w:ascii="Times New Roman" w:cs="Times New Roman" w:eastAsia="Times New Roman" w:hAnsi="Times New Roman"/>
          <w:sz w:val="24"/>
          <w:szCs w:val="24"/>
          <w:color w:val="auto"/>
        </w:rPr>
      </w:pPr>
      <w:r>
        <w:rPr>
          <w:rFonts w:ascii="宋体" w:cs="宋体" w:eastAsia="宋体" w:hAnsi="宋体"/>
          <w:sz w:val="24"/>
          <w:szCs w:val="24"/>
          <w:color w:val="auto"/>
        </w:rPr>
        <w:t>按规定完成分流淘汰后的博士生招生名额补偿，依照《博士生分流淘汰后的招生指标补偿试行方案》执行。</w:t>
      </w:r>
    </w:p>
    <w:p>
      <w:pPr>
        <w:spacing w:after="0" w:line="336" w:lineRule="exact"/>
        <w:rPr>
          <w:rFonts w:ascii="Times New Roman" w:cs="Times New Roman" w:eastAsia="Times New Roman" w:hAnsi="Times New Roman"/>
          <w:sz w:val="24"/>
          <w:szCs w:val="24"/>
          <w:color w:val="auto"/>
        </w:rPr>
      </w:pPr>
    </w:p>
    <w:p>
      <w:pPr>
        <w:ind w:left="720" w:hanging="360"/>
        <w:spacing w:after="0" w:line="292" w:lineRule="exact"/>
        <w:tabs>
          <w:tab w:leader="none" w:pos="720" w:val="left"/>
        </w:tabs>
        <w:numPr>
          <w:ilvl w:val="0"/>
          <w:numId w:val="7"/>
        </w:numPr>
        <w:rPr>
          <w:rFonts w:ascii="Times New Roman" w:cs="Times New Roman" w:eastAsia="Times New Roman" w:hAnsi="Times New Roman"/>
          <w:sz w:val="24"/>
          <w:szCs w:val="24"/>
          <w:color w:val="auto"/>
        </w:rPr>
      </w:pPr>
      <w:r>
        <w:rPr>
          <w:rFonts w:ascii="宋体" w:cs="宋体" w:eastAsia="宋体" w:hAnsi="宋体"/>
          <w:sz w:val="24"/>
          <w:szCs w:val="24"/>
          <w:color w:val="auto"/>
        </w:rPr>
        <w:t>本细则自</w:t>
      </w:r>
      <w:r>
        <w:rPr>
          <w:rFonts w:ascii="Times New Roman" w:cs="Times New Roman" w:eastAsia="Times New Roman" w:hAnsi="Times New Roman"/>
          <w:sz w:val="24"/>
          <w:szCs w:val="24"/>
          <w:color w:val="auto"/>
        </w:rPr>
        <w:t xml:space="preserve"> 2018 </w:t>
      </w:r>
      <w:r>
        <w:rPr>
          <w:rFonts w:ascii="宋体" w:cs="宋体" w:eastAsia="宋体" w:hAnsi="宋体"/>
          <w:sz w:val="24"/>
          <w:szCs w:val="24"/>
          <w:color w:val="auto"/>
        </w:rPr>
        <w:t>级博士生起执行，</w:t>
      </w:r>
      <w:r>
        <w:rPr>
          <w:rFonts w:ascii="Times New Roman" w:cs="Times New Roman" w:eastAsia="Times New Roman" w:hAnsi="Times New Roman"/>
          <w:sz w:val="24"/>
          <w:szCs w:val="24"/>
          <w:color w:val="auto"/>
        </w:rPr>
        <w:t xml:space="preserve">2018 </w:t>
      </w:r>
      <w:r>
        <w:rPr>
          <w:rFonts w:ascii="宋体" w:cs="宋体" w:eastAsia="宋体" w:hAnsi="宋体"/>
          <w:sz w:val="24"/>
          <w:szCs w:val="24"/>
          <w:color w:val="auto"/>
        </w:rPr>
        <w:t>级以前博士生可参照执行。</w:t>
      </w:r>
    </w:p>
    <w:p>
      <w:pPr>
        <w:spacing w:after="0" w:line="328" w:lineRule="exact"/>
        <w:rPr>
          <w:rFonts w:ascii="Times New Roman" w:cs="Times New Roman" w:eastAsia="Times New Roman" w:hAnsi="Times New Roman"/>
          <w:sz w:val="24"/>
          <w:szCs w:val="24"/>
          <w:color w:val="auto"/>
        </w:rPr>
      </w:pPr>
    </w:p>
    <w:p>
      <w:pPr>
        <w:ind w:left="720" w:hanging="360"/>
        <w:spacing w:after="0" w:line="292" w:lineRule="exact"/>
        <w:tabs>
          <w:tab w:leader="none" w:pos="720" w:val="left"/>
        </w:tabs>
        <w:numPr>
          <w:ilvl w:val="0"/>
          <w:numId w:val="7"/>
        </w:numPr>
        <w:rPr>
          <w:rFonts w:ascii="Times New Roman" w:cs="Times New Roman" w:eastAsia="Times New Roman" w:hAnsi="Times New Roman"/>
          <w:sz w:val="24"/>
          <w:szCs w:val="24"/>
          <w:color w:val="auto"/>
        </w:rPr>
      </w:pPr>
      <w:r>
        <w:rPr>
          <w:rFonts w:ascii="宋体" w:cs="宋体" w:eastAsia="宋体" w:hAnsi="宋体"/>
          <w:sz w:val="24"/>
          <w:szCs w:val="24"/>
          <w:color w:val="auto"/>
        </w:rPr>
        <w:t>本细则由研究生院负责解释。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93"/>
        <w:spacing w:after="0" w:line="188" w:lineRule="exact"/>
        <w:rPr>
          <w:sz w:val="20"/>
          <w:szCs w:val="20"/>
          <w:color w:val="auto"/>
        </w:rPr>
      </w:pPr>
      <w:r>
        <w:rPr>
          <w:rFonts w:ascii="等线" w:cs="等线" w:eastAsia="等线" w:hAnsi="等线"/>
          <w:sz w:val="18"/>
          <w:szCs w:val="18"/>
          <w:b w:val="1"/>
          <w:bCs w:val="1"/>
          <w:color w:val="auto"/>
        </w:rPr>
        <w:t xml:space="preserve">4 </w:t>
      </w:r>
      <w:r>
        <w:rPr>
          <w:rFonts w:ascii="等线" w:cs="等线" w:eastAsia="等线" w:hAnsi="等线"/>
          <w:sz w:val="18"/>
          <w:szCs w:val="18"/>
          <w:color w:val="auto"/>
        </w:rPr>
        <w:t>/</w:t>
      </w:r>
      <w:r>
        <w:rPr>
          <w:rFonts w:ascii="等线" w:cs="等线" w:eastAsia="等线" w:hAnsi="等线"/>
          <w:sz w:val="18"/>
          <w:szCs w:val="18"/>
          <w:b w:val="1"/>
          <w:bCs w:val="1"/>
          <w:color w:val="auto"/>
        </w:rPr>
        <w:t xml:space="preserve"> 4</w:t>
      </w:r>
    </w:p>
    <w:sectPr>
      <w:pgSz w:w="11900" w:h="16838" w:orient="portrait"/>
      <w:cols w:equalWidth="0" w:num="1">
        <w:col w:w="9026"/>
      </w:cols>
      <w:pgMar w:left="1440" w:top="1440" w:right="1440" w:bottom="70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http://schemas.openxmlformats.org/wordprocessingml/2006/main">
  <w:abstractNum w:abstractNumId="0">
    <w:nsid w:val="41BB"/>
    <w:multiLevelType w:val="hybridMultilevel"/>
    <w:lvl w:ilvl="0">
      <w:lvlJc w:val="left"/>
      <w:lvlText w:val="%1"/>
      <w:numFmt w:val="decimal"/>
      <w:start w:val="103"/>
    </w:lvl>
  </w:abstractNum>
  <w:abstractNum w:abstractNumId="1">
    <w:nsid w:val="26E9"/>
    <w:multiLevelType w:val="hybridMultilevel"/>
    <w:lvl w:ilvl="0">
      <w:lvlJc w:val="left"/>
      <w:lvlText w:val="%1."/>
      <w:numFmt w:val="decimal"/>
      <w:start w:val="1"/>
    </w:lvl>
  </w:abstractNum>
  <w:abstractNum w:abstractNumId="2">
    <w:nsid w:val="1EB"/>
    <w:multiLevelType w:val="hybridMultilevel"/>
    <w:lvl w:ilvl="0">
      <w:lvlJc w:val="left"/>
      <w:lvlText w:val="%1."/>
      <w:numFmt w:val="decimal"/>
      <w:start w:val="1"/>
    </w:lvl>
  </w:abstractNum>
  <w:abstractNum w:abstractNumId="3">
    <w:nsid w:val="BB3"/>
    <w:multiLevelType w:val="hybridMultilevel"/>
    <w:lvl w:ilvl="0">
      <w:lvlJc w:val="left"/>
      <w:lvlText w:val="%1."/>
      <w:numFmt w:val="decimal"/>
      <w:start w:val="1"/>
    </w:lvl>
  </w:abstractNum>
  <w:abstractNum w:abstractNumId="4">
    <w:nsid w:val="2EA6"/>
    <w:multiLevelType w:val="hybridMultilevel"/>
    <w:lvl w:ilvl="0">
      <w:lvlJc w:val="left"/>
      <w:lvlText w:val="%1."/>
      <w:numFmt w:val="decimal"/>
      <w:start w:val="3"/>
    </w:lvl>
  </w:abstractNum>
  <w:abstractNum w:abstractNumId="5">
    <w:nsid w:val="12DB"/>
    <w:multiLevelType w:val="hybridMultilevel"/>
    <w:lvl w:ilvl="0">
      <w:lvlJc w:val="left"/>
      <w:lvlText w:val="%1."/>
      <w:numFmt w:val="decimal"/>
      <w:start w:val="1"/>
    </w:lvl>
  </w:abstractNum>
  <w:abstractNum w:abstractNumId="6">
    <w:nsid w:val="153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2019-10-25T17:31:38Z</dcterms:created>
  <dcterms:modified xsi:type="dcterms:W3CDTF">2019-10-25T17:31:38Z</dcterms:modified>
</cp:coreProperties>
</file>