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D365D" w14:textId="48DAC363" w:rsidR="00635AD0" w:rsidRDefault="000E4E60" w:rsidP="006B2414">
      <w:pPr>
        <w:pStyle w:val="a9"/>
        <w:snapToGrid w:val="0"/>
        <w:spacing w:line="480" w:lineRule="exact"/>
        <w:rPr>
          <w:rFonts w:ascii="仿宋" w:eastAsia="仿宋" w:hAnsi="仿宋"/>
          <w:sz w:val="36"/>
          <w:szCs w:val="36"/>
        </w:rPr>
      </w:pPr>
      <w:r>
        <w:rPr>
          <w:rFonts w:ascii="仿宋" w:eastAsia="仿宋" w:hAnsi="仿宋"/>
          <w:sz w:val="36"/>
          <w:szCs w:val="36"/>
        </w:rPr>
        <w:t>202</w:t>
      </w:r>
      <w:r w:rsidR="00D81F33">
        <w:rPr>
          <w:rFonts w:ascii="仿宋" w:eastAsia="仿宋" w:hAnsi="仿宋" w:hint="eastAsia"/>
          <w:sz w:val="36"/>
          <w:szCs w:val="36"/>
        </w:rPr>
        <w:t>2</w:t>
      </w:r>
      <w:r>
        <w:rPr>
          <w:rFonts w:ascii="仿宋" w:eastAsia="仿宋" w:hAnsi="仿宋"/>
          <w:sz w:val="36"/>
          <w:szCs w:val="36"/>
        </w:rPr>
        <w:t>级“海洋科学（</w:t>
      </w:r>
      <w:r>
        <w:rPr>
          <w:rFonts w:ascii="仿宋" w:eastAsia="仿宋" w:hAnsi="仿宋" w:hint="eastAsia"/>
          <w:sz w:val="36"/>
          <w:szCs w:val="36"/>
        </w:rPr>
        <w:t>化学、生物</w:t>
      </w:r>
      <w:r>
        <w:rPr>
          <w:rFonts w:ascii="仿宋" w:eastAsia="仿宋" w:hAnsi="仿宋"/>
          <w:sz w:val="36"/>
          <w:szCs w:val="36"/>
        </w:rPr>
        <w:t>与地质海洋）”</w:t>
      </w:r>
      <w:r>
        <w:rPr>
          <w:rFonts w:ascii="仿宋" w:eastAsia="仿宋" w:hAnsi="仿宋"/>
          <w:color w:val="333333"/>
          <w:sz w:val="36"/>
          <w:szCs w:val="36"/>
        </w:rPr>
        <w:t>专业本科人才培养方案</w:t>
      </w:r>
    </w:p>
    <w:p w14:paraId="1CDB775D" w14:textId="77777777" w:rsidR="00635AD0" w:rsidRDefault="000E4E60">
      <w:pPr>
        <w:pStyle w:val="1"/>
        <w:numPr>
          <w:ilvl w:val="0"/>
          <w:numId w:val="32"/>
        </w:numPr>
        <w:snapToGrid w:val="0"/>
        <w:spacing w:line="480" w:lineRule="exact"/>
        <w:ind w:left="707" w:hangingChars="220" w:hanging="707"/>
        <w:rPr>
          <w:rFonts w:ascii="仿宋" w:eastAsia="仿宋" w:hAnsi="仿宋"/>
          <w:sz w:val="32"/>
          <w:szCs w:val="32"/>
        </w:rPr>
      </w:pPr>
      <w:r>
        <w:rPr>
          <w:rFonts w:ascii="仿宋" w:eastAsia="仿宋" w:hAnsi="仿宋"/>
          <w:sz w:val="32"/>
          <w:szCs w:val="32"/>
        </w:rPr>
        <w:t>培养目标与规格</w:t>
      </w:r>
    </w:p>
    <w:p w14:paraId="2A7EDBA4"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上海交通大学海洋学院致力打造海洋科学与技术交叉融合发展的国际化一流学院。现拥有的专任教师队伍中，各类国家级人才计划入选者20人，超过95%的教师具有海外长期留学、访学或工作经历，是一支完全国际化的教师队伍。师资团队成员长期坚守科研一线，致力于跟踪与探索海洋领域重大科学问题。一流的国际化师资队伍和科研平台为培养一流的本科生打下了坚实基础。</w:t>
      </w:r>
    </w:p>
    <w:p w14:paraId="5FBCE689" w14:textId="77777777" w:rsidR="00635AD0" w:rsidRDefault="000E4E60">
      <w:pPr>
        <w:snapToGrid w:val="0"/>
        <w:spacing w:before="60" w:after="60" w:line="480" w:lineRule="exact"/>
        <w:ind w:firstLine="561"/>
        <w:jc w:val="left"/>
        <w:rPr>
          <w:rFonts w:ascii="仿宋" w:eastAsia="仿宋" w:hAnsi="仿宋"/>
          <w:color w:val="333333"/>
          <w:sz w:val="22"/>
        </w:rPr>
      </w:pPr>
      <w:r>
        <w:rPr>
          <w:rFonts w:ascii="仿宋" w:eastAsia="仿宋" w:hAnsi="仿宋"/>
          <w:color w:val="000000"/>
          <w:sz w:val="28"/>
          <w:szCs w:val="28"/>
          <w:shd w:val="clear" w:color="auto" w:fill="FFFFFF"/>
        </w:rPr>
        <w:t>“海</w:t>
      </w:r>
      <w:r>
        <w:rPr>
          <w:rFonts w:ascii="仿宋" w:eastAsia="仿宋" w:hAnsi="仿宋"/>
          <w:color w:val="000000"/>
          <w:sz w:val="28"/>
          <w:szCs w:val="28"/>
        </w:rPr>
        <w:t>洋科学（化学、生物与地质海洋）”专业的研究领域主要包括面向海洋中的化学、生物和地质过程的基础研究和面向海洋自然环境保护、海洋资源开发利用等的相应研究。</w:t>
      </w:r>
    </w:p>
    <w:p w14:paraId="6CE50C4E" w14:textId="77777777" w:rsidR="00635AD0" w:rsidRDefault="000E4E60">
      <w:pPr>
        <w:snapToGrid w:val="0"/>
        <w:spacing w:before="60" w:after="60" w:line="480" w:lineRule="exact"/>
        <w:ind w:firstLine="561"/>
        <w:jc w:val="left"/>
        <w:rPr>
          <w:rFonts w:ascii="仿宋" w:eastAsia="仿宋" w:hAnsi="仿宋"/>
          <w:color w:val="333333"/>
          <w:sz w:val="22"/>
        </w:rPr>
      </w:pPr>
      <w:r>
        <w:rPr>
          <w:rFonts w:ascii="仿宋" w:eastAsia="仿宋" w:hAnsi="仿宋"/>
          <w:color w:val="000000"/>
          <w:sz w:val="28"/>
          <w:szCs w:val="28"/>
        </w:rPr>
        <w:t>“海洋科学（化学、生物与地质海洋）”专业的人才培养目标是培养德智体美劳全面发展，数学、物理、化学、生物、地质等科学基础扎实、人文素养深厚、动手实践能力强、专业兴趣驱动多学科协调发展的海洋学科领军人才；培养具有家国情怀、批判性思维能力、分析问题与解决问题能力、沟通协调能力、自我学习能力、国际化视野和多元文化包容理解能力的高端人才。毕业生能够从事科学领域相关研究和管理等工作，也可在本专业或其他相关专业继续深造。</w:t>
      </w:r>
    </w:p>
    <w:p w14:paraId="2A15F3D0" w14:textId="77777777" w:rsidR="00635AD0" w:rsidRDefault="000E4E60">
      <w:pPr>
        <w:pStyle w:val="1"/>
        <w:numPr>
          <w:ilvl w:val="0"/>
          <w:numId w:val="32"/>
        </w:numPr>
        <w:snapToGrid w:val="0"/>
        <w:spacing w:line="480" w:lineRule="exact"/>
        <w:ind w:left="707" w:hangingChars="220" w:hanging="707"/>
        <w:rPr>
          <w:rFonts w:ascii="仿宋" w:eastAsia="仿宋" w:hAnsi="仿宋"/>
          <w:sz w:val="32"/>
          <w:szCs w:val="32"/>
        </w:rPr>
      </w:pPr>
      <w:r>
        <w:rPr>
          <w:rFonts w:ascii="仿宋" w:eastAsia="仿宋" w:hAnsi="仿宋"/>
          <w:sz w:val="32"/>
          <w:szCs w:val="32"/>
        </w:rPr>
        <w:t>规范与要求</w:t>
      </w:r>
    </w:p>
    <w:p w14:paraId="2737468F" w14:textId="77777777" w:rsidR="00635AD0" w:rsidRDefault="000E4E60">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A 价值引领</w:t>
      </w:r>
    </w:p>
    <w:p w14:paraId="0E9AA72E"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A1 坚定理想信念，</w:t>
      </w:r>
      <w:proofErr w:type="gramStart"/>
      <w:r>
        <w:rPr>
          <w:rFonts w:ascii="仿宋" w:eastAsia="仿宋" w:hAnsi="仿宋"/>
          <w:color w:val="000000"/>
          <w:sz w:val="28"/>
          <w:szCs w:val="28"/>
        </w:rPr>
        <w:t>践行</w:t>
      </w:r>
      <w:proofErr w:type="gramEnd"/>
      <w:r>
        <w:rPr>
          <w:rFonts w:ascii="仿宋" w:eastAsia="仿宋" w:hAnsi="仿宋"/>
          <w:color w:val="000000"/>
          <w:sz w:val="28"/>
          <w:szCs w:val="28"/>
        </w:rPr>
        <w:t>社会主义核心价值观</w:t>
      </w:r>
    </w:p>
    <w:p w14:paraId="5E0C5146"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xml:space="preserve">   A2 </w:t>
      </w:r>
      <w:proofErr w:type="gramStart"/>
      <w:r>
        <w:rPr>
          <w:rFonts w:ascii="仿宋" w:eastAsia="仿宋" w:hAnsi="仿宋"/>
          <w:color w:val="000000"/>
          <w:sz w:val="28"/>
          <w:szCs w:val="28"/>
        </w:rPr>
        <w:t>厚植家国</w:t>
      </w:r>
      <w:proofErr w:type="gramEnd"/>
      <w:r>
        <w:rPr>
          <w:rFonts w:ascii="仿宋" w:eastAsia="仿宋" w:hAnsi="仿宋"/>
          <w:color w:val="000000"/>
          <w:sz w:val="28"/>
          <w:szCs w:val="28"/>
        </w:rPr>
        <w:t>情怀，担当民族伟大复兴重任</w:t>
      </w:r>
    </w:p>
    <w:p w14:paraId="1996C1CC"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A3 立足行业领域，矢志成为国家栋梁</w:t>
      </w:r>
    </w:p>
    <w:p w14:paraId="47958102"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A4 追求真理，树立创造未来的远大目标</w:t>
      </w:r>
    </w:p>
    <w:p w14:paraId="4D82F1A8"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A5 胸怀天下，以增进全人类福祉为己任</w:t>
      </w:r>
    </w:p>
    <w:p w14:paraId="337DA242" w14:textId="77777777" w:rsidR="00635AD0" w:rsidRDefault="000E4E60">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B 知识探究</w:t>
      </w:r>
    </w:p>
    <w:p w14:paraId="75C68ADA"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B1 深厚的基础理论</w:t>
      </w:r>
    </w:p>
    <w:p w14:paraId="5CC9B4F8"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B1.1 数学、物理、化学、生物、地理、计算机等学科基础知识</w:t>
      </w:r>
    </w:p>
    <w:p w14:paraId="41307DF6"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lastRenderedPageBreak/>
        <w:t>   B1.2 海洋科学概貌及海洋可持续发展等基本知识</w:t>
      </w:r>
    </w:p>
    <w:p w14:paraId="7C5D2779"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B2 扎实的专业核心</w:t>
      </w:r>
    </w:p>
    <w:p w14:paraId="1CC03662"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B2.1 含生物海洋与海洋生物、化学海洋、地质海洋、海洋环境等领域知识的海洋科学导论</w:t>
      </w:r>
    </w:p>
    <w:p w14:paraId="14F316F6"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B2.2 生物化学、海洋生态学、气候学与全球变化等专业核心知识体系</w:t>
      </w:r>
    </w:p>
    <w:p w14:paraId="4CC4882D"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B3 宽广的跨学科知识</w:t>
      </w:r>
    </w:p>
    <w:p w14:paraId="2AA8F1A7" w14:textId="2EBE4E8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xml:space="preserve">   </w:t>
      </w:r>
      <w:r w:rsidR="008B09A6">
        <w:rPr>
          <w:rFonts w:ascii="仿宋" w:eastAsia="仿宋" w:hAnsi="仿宋"/>
          <w:color w:val="333333"/>
          <w:sz w:val="28"/>
          <w:szCs w:val="28"/>
        </w:rPr>
        <w:t>生物地球化学、组学大数据、仪器分析</w:t>
      </w:r>
      <w:r w:rsidR="008B09A6">
        <w:rPr>
          <w:rFonts w:ascii="仿宋" w:eastAsia="仿宋" w:hAnsi="仿宋" w:hint="eastAsia"/>
          <w:color w:val="333333"/>
          <w:sz w:val="28"/>
          <w:szCs w:val="28"/>
        </w:rPr>
        <w:t>、海洋保护与可持续发展、洋底动力学</w:t>
      </w:r>
      <w:r w:rsidR="008B09A6">
        <w:rPr>
          <w:rFonts w:ascii="仿宋" w:eastAsia="仿宋" w:hAnsi="仿宋"/>
          <w:color w:val="333333"/>
          <w:sz w:val="28"/>
          <w:szCs w:val="28"/>
        </w:rPr>
        <w:t>等多学科交叉融合的知识</w:t>
      </w:r>
    </w:p>
    <w:p w14:paraId="2E4B5C33"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B4 领先的专业前沿</w:t>
      </w:r>
    </w:p>
    <w:p w14:paraId="1C1CE3C6"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生物地球化学、组学大数据、地球生物学、洋底动力学等</w:t>
      </w:r>
    </w:p>
    <w:p w14:paraId="1B5AF534"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B5 广博的通识教育</w:t>
      </w:r>
    </w:p>
    <w:p w14:paraId="0B7D904E"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人文学科、社会科学、工程技术等</w:t>
      </w:r>
      <w:proofErr w:type="gramStart"/>
      <w:r>
        <w:rPr>
          <w:rFonts w:ascii="仿宋" w:eastAsia="仿宋" w:hAnsi="仿宋"/>
          <w:color w:val="000000"/>
          <w:sz w:val="28"/>
          <w:szCs w:val="28"/>
        </w:rPr>
        <w:t>通识类知识</w:t>
      </w:r>
      <w:proofErr w:type="gramEnd"/>
    </w:p>
    <w:p w14:paraId="6B15AD97" w14:textId="77777777" w:rsidR="00635AD0" w:rsidRDefault="000E4E60">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C 能力建设</w:t>
      </w:r>
    </w:p>
    <w:p w14:paraId="39B16EF8"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C1 审美与鉴赏能力</w:t>
      </w:r>
    </w:p>
    <w:p w14:paraId="66FAF656"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C2 沟通协作与管理领导能力</w:t>
      </w:r>
    </w:p>
    <w:p w14:paraId="44C91DB4"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C3 批判性思维、实践与创新能力</w:t>
      </w:r>
    </w:p>
    <w:p w14:paraId="728561C6"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C4 跨文化沟通交流与全球胜任力</w:t>
      </w:r>
    </w:p>
    <w:p w14:paraId="0204CB8A"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C5 终身学习和自主学习能力</w:t>
      </w:r>
    </w:p>
    <w:p w14:paraId="0D01221C"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C6 至少一门外语的应用能力</w:t>
      </w:r>
    </w:p>
    <w:p w14:paraId="7F864FC2"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C7 发现、分析与解决问题能力</w:t>
      </w:r>
    </w:p>
    <w:p w14:paraId="5EAEB02A"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C8 国际化视野与多元文化包容理解能力</w:t>
      </w:r>
    </w:p>
    <w:p w14:paraId="6EA91F22" w14:textId="77777777" w:rsidR="00635AD0" w:rsidRDefault="000E4E60">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D 人格养成</w:t>
      </w:r>
    </w:p>
    <w:p w14:paraId="691C606C"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D1 刻苦务实、意志坚强</w:t>
      </w:r>
    </w:p>
    <w:p w14:paraId="00ABFFDB"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D2努力拼搏，敢为人先</w:t>
      </w:r>
    </w:p>
    <w:p w14:paraId="61832842"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D3诚实守信，忠于职守</w:t>
      </w:r>
    </w:p>
    <w:p w14:paraId="7FAC528D"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D4身心和谐、体魄强健</w:t>
      </w:r>
    </w:p>
    <w:p w14:paraId="10E7EA14"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D5崇礼明德，仁爱宽容</w:t>
      </w:r>
    </w:p>
    <w:p w14:paraId="2C0BC8AD" w14:textId="77777777" w:rsidR="00635AD0" w:rsidRDefault="000E4E60">
      <w:pPr>
        <w:pStyle w:val="1"/>
        <w:numPr>
          <w:ilvl w:val="0"/>
          <w:numId w:val="32"/>
        </w:numPr>
        <w:snapToGrid w:val="0"/>
        <w:spacing w:line="480" w:lineRule="exact"/>
        <w:ind w:left="707" w:hangingChars="220" w:hanging="707"/>
        <w:rPr>
          <w:rFonts w:ascii="仿宋" w:eastAsia="仿宋" w:hAnsi="仿宋"/>
          <w:sz w:val="32"/>
          <w:szCs w:val="32"/>
        </w:rPr>
      </w:pPr>
      <w:r>
        <w:rPr>
          <w:rFonts w:ascii="仿宋" w:eastAsia="仿宋" w:hAnsi="仿宋"/>
          <w:sz w:val="32"/>
          <w:szCs w:val="32"/>
        </w:rPr>
        <w:lastRenderedPageBreak/>
        <w:t>课程体系</w:t>
      </w:r>
    </w:p>
    <w:p w14:paraId="5B1E4C4B"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本专业课程体系由通识教育课程、专业教育课程、专业实践类课程、个性化教育课程四大模块构成，各模块要求如下：</w:t>
      </w:r>
    </w:p>
    <w:p w14:paraId="3461C2F9"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1.通识教育课程</w:t>
      </w:r>
    </w:p>
    <w:p w14:paraId="25818940" w14:textId="38D2DCAC"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通识教育课程包括公共必修课2</w:t>
      </w:r>
      <w:r w:rsidR="00D81F33">
        <w:rPr>
          <w:rFonts w:ascii="仿宋" w:eastAsia="仿宋" w:hAnsi="仿宋" w:hint="eastAsia"/>
          <w:color w:val="000000"/>
          <w:sz w:val="28"/>
          <w:szCs w:val="28"/>
        </w:rPr>
        <w:t>5</w:t>
      </w:r>
      <w:r>
        <w:rPr>
          <w:rFonts w:ascii="仿宋" w:eastAsia="仿宋" w:hAnsi="仿宋"/>
          <w:color w:val="000000"/>
          <w:sz w:val="28"/>
          <w:szCs w:val="28"/>
        </w:rPr>
        <w:t>学分、通</w:t>
      </w:r>
      <w:proofErr w:type="gramStart"/>
      <w:r>
        <w:rPr>
          <w:rFonts w:ascii="仿宋" w:eastAsia="仿宋" w:hAnsi="仿宋"/>
          <w:color w:val="000000"/>
          <w:sz w:val="28"/>
          <w:szCs w:val="28"/>
        </w:rPr>
        <w:t>识核心课</w:t>
      </w:r>
      <w:proofErr w:type="gramEnd"/>
      <w:r>
        <w:rPr>
          <w:rFonts w:ascii="仿宋" w:eastAsia="仿宋" w:hAnsi="仿宋"/>
          <w:color w:val="000000"/>
          <w:sz w:val="28"/>
          <w:szCs w:val="28"/>
        </w:rPr>
        <w:t>10学分和公共选修课。其中，公共选修课为英语选修课，全部修业期间须修满6学分，且须达到学校英语培养目标基本要求，多修学分计入个性化。通识教育课程总学分最低为</w:t>
      </w:r>
      <w:r w:rsidR="00D81F33">
        <w:rPr>
          <w:rFonts w:ascii="仿宋" w:eastAsia="仿宋" w:hAnsi="仿宋" w:hint="eastAsia"/>
          <w:color w:val="000000"/>
          <w:sz w:val="28"/>
          <w:szCs w:val="28"/>
        </w:rPr>
        <w:t>41</w:t>
      </w:r>
      <w:r>
        <w:rPr>
          <w:rFonts w:ascii="仿宋" w:eastAsia="仿宋" w:hAnsi="仿宋"/>
          <w:color w:val="000000"/>
          <w:sz w:val="28"/>
          <w:szCs w:val="28"/>
        </w:rPr>
        <w:t>学分。</w:t>
      </w:r>
    </w:p>
    <w:p w14:paraId="757B17F7"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2.专业教育课程</w:t>
      </w:r>
    </w:p>
    <w:p w14:paraId="0E535605"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专业教育课程由基础必修课、专业必修课、专业选修课三大部分组成。</w:t>
      </w:r>
    </w:p>
    <w:p w14:paraId="2E17B7E3" w14:textId="12CD7C8B"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基础必修课包括涉及</w:t>
      </w:r>
      <w:r>
        <w:rPr>
          <w:rFonts w:ascii="仿宋" w:eastAsia="仿宋" w:hAnsi="仿宋"/>
          <w:color w:val="333333"/>
          <w:sz w:val="28"/>
          <w:szCs w:val="28"/>
        </w:rPr>
        <w:t>数学、物理、化学、电学、理学、计算机</w:t>
      </w:r>
      <w:r>
        <w:rPr>
          <w:rFonts w:ascii="仿宋" w:eastAsia="仿宋" w:hAnsi="仿宋"/>
          <w:color w:val="000000"/>
          <w:sz w:val="28"/>
          <w:szCs w:val="28"/>
        </w:rPr>
        <w:t>等知识的1</w:t>
      </w:r>
      <w:r w:rsidR="00D81F33">
        <w:rPr>
          <w:rFonts w:ascii="仿宋" w:eastAsia="仿宋" w:hAnsi="仿宋" w:hint="eastAsia"/>
          <w:color w:val="000000"/>
          <w:sz w:val="28"/>
          <w:szCs w:val="28"/>
        </w:rPr>
        <w:t>4</w:t>
      </w:r>
      <w:r>
        <w:rPr>
          <w:rFonts w:ascii="仿宋" w:eastAsia="仿宋" w:hAnsi="仿宋"/>
          <w:color w:val="000000"/>
          <w:sz w:val="28"/>
          <w:szCs w:val="28"/>
        </w:rPr>
        <w:t>门必修课程，共</w:t>
      </w:r>
      <w:r w:rsidR="00D81F33">
        <w:rPr>
          <w:rFonts w:ascii="仿宋" w:eastAsia="仿宋" w:hAnsi="仿宋" w:hint="eastAsia"/>
          <w:color w:val="000000"/>
          <w:sz w:val="28"/>
          <w:szCs w:val="28"/>
        </w:rPr>
        <w:t>49</w:t>
      </w:r>
      <w:r>
        <w:rPr>
          <w:rFonts w:ascii="仿宋" w:eastAsia="仿宋" w:hAnsi="仿宋"/>
          <w:color w:val="000000"/>
          <w:sz w:val="28"/>
          <w:szCs w:val="28"/>
        </w:rPr>
        <w:t>学分，须修满全部。</w:t>
      </w:r>
    </w:p>
    <w:p w14:paraId="5EF65089" w14:textId="71D9C888"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专业必修课</w:t>
      </w:r>
      <w:r w:rsidR="00D81F33">
        <w:rPr>
          <w:rFonts w:ascii="仿宋" w:eastAsia="仿宋" w:hAnsi="仿宋" w:hint="eastAsia"/>
          <w:color w:val="000000"/>
          <w:sz w:val="28"/>
          <w:szCs w:val="28"/>
        </w:rPr>
        <w:t>8</w:t>
      </w:r>
      <w:r>
        <w:rPr>
          <w:rFonts w:ascii="仿宋" w:eastAsia="仿宋" w:hAnsi="仿宋"/>
          <w:color w:val="000000"/>
          <w:sz w:val="28"/>
          <w:szCs w:val="28"/>
        </w:rPr>
        <w:t>门课程，共2</w:t>
      </w:r>
      <w:r w:rsidR="00D81F33">
        <w:rPr>
          <w:rFonts w:ascii="仿宋" w:eastAsia="仿宋" w:hAnsi="仿宋" w:hint="eastAsia"/>
          <w:color w:val="000000"/>
          <w:sz w:val="28"/>
          <w:szCs w:val="28"/>
        </w:rPr>
        <w:t>3</w:t>
      </w:r>
      <w:r>
        <w:rPr>
          <w:rFonts w:ascii="仿宋" w:eastAsia="仿宋" w:hAnsi="仿宋"/>
          <w:color w:val="000000"/>
          <w:sz w:val="28"/>
          <w:szCs w:val="28"/>
        </w:rPr>
        <w:t>学分，须修满全部。</w:t>
      </w:r>
    </w:p>
    <w:p w14:paraId="2A7C8624"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专业选修课共开设有生物海洋与海洋生物方向、化学海洋方向及地质海洋方向选修课，学生选择一个方向模块修满6学分即可，多余学分可计入跨专业选修模块中海洋方向课程学分，或计入个性化学分。</w:t>
      </w:r>
    </w:p>
    <w:p w14:paraId="0632DBEA"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3.实践教育课程</w:t>
      </w:r>
    </w:p>
    <w:p w14:paraId="682B4266" w14:textId="4CB5956C"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专业实践课程由必修的实验课程、各类实习实践、专业综合训练等类课程组成，共须修满3</w:t>
      </w:r>
      <w:r w:rsidR="00D81F33">
        <w:rPr>
          <w:rFonts w:ascii="仿宋" w:eastAsia="仿宋" w:hAnsi="仿宋" w:hint="eastAsia"/>
          <w:color w:val="000000"/>
          <w:sz w:val="28"/>
          <w:szCs w:val="28"/>
        </w:rPr>
        <w:t>0</w:t>
      </w:r>
      <w:r>
        <w:rPr>
          <w:rFonts w:ascii="仿宋" w:eastAsia="仿宋" w:hAnsi="仿宋"/>
          <w:color w:val="000000"/>
          <w:sz w:val="28"/>
          <w:szCs w:val="28"/>
        </w:rPr>
        <w:t>学分。</w:t>
      </w:r>
    </w:p>
    <w:p w14:paraId="5E9F2B34"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4.个性化教育课程</w:t>
      </w:r>
    </w:p>
    <w:p w14:paraId="1B49562A"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个性化教育课程包括跨学科选修课和自由选修课。跨学科选修课包括海洋方向、化学方向、生命方向和环境方向四个方向模块，学生任选其一修满10学分即可。除本专业培养方案中通识教育课程、专业教育课程、实践教育课程、跨学科选修课四个模块要求学分之外的所有学分均可计入个性化教育课程，修满6学分即可。个性化</w:t>
      </w:r>
    </w:p>
    <w:p w14:paraId="677B4ECA" w14:textId="77777777" w:rsidR="00635AD0" w:rsidRDefault="00635AD0">
      <w:pPr>
        <w:snapToGrid w:val="0"/>
        <w:spacing w:line="480" w:lineRule="exact"/>
        <w:ind w:firstLineChars="200" w:firstLine="440"/>
        <w:jc w:val="left"/>
        <w:rPr>
          <w:rFonts w:ascii="仿宋" w:eastAsia="仿宋" w:hAnsi="仿宋"/>
          <w:color w:val="333333"/>
          <w:sz w:val="22"/>
        </w:rPr>
      </w:pPr>
    </w:p>
    <w:p w14:paraId="008A8ACE" w14:textId="77777777" w:rsidR="00635AD0" w:rsidRDefault="000E4E60">
      <w:pPr>
        <w:pStyle w:val="1"/>
        <w:numPr>
          <w:ilvl w:val="0"/>
          <w:numId w:val="32"/>
        </w:numPr>
        <w:snapToGrid w:val="0"/>
        <w:spacing w:line="480" w:lineRule="exact"/>
        <w:ind w:left="795" w:hangingChars="220" w:hanging="795"/>
        <w:rPr>
          <w:rFonts w:ascii="仿宋" w:eastAsia="仿宋" w:hAnsi="仿宋"/>
        </w:rPr>
      </w:pPr>
      <w:r>
        <w:rPr>
          <w:rFonts w:ascii="仿宋" w:eastAsia="仿宋" w:hAnsi="仿宋"/>
        </w:rPr>
        <w:t>学制、毕业学位</w:t>
      </w:r>
    </w:p>
    <w:p w14:paraId="5DFBB822" w14:textId="390C067F" w:rsidR="00635AD0" w:rsidRDefault="000E4E60">
      <w:pPr>
        <w:snapToGrid w:val="0"/>
        <w:spacing w:before="60" w:after="60" w:line="480" w:lineRule="exact"/>
        <w:jc w:val="left"/>
        <w:rPr>
          <w:rFonts w:ascii="仿宋" w:eastAsia="仿宋" w:hAnsi="仿宋"/>
          <w:color w:val="333333"/>
          <w:sz w:val="22"/>
        </w:rPr>
      </w:pPr>
      <w:r>
        <w:rPr>
          <w:rFonts w:ascii="仿宋" w:eastAsia="仿宋" w:hAnsi="仿宋"/>
          <w:color w:val="000000"/>
          <w:sz w:val="28"/>
          <w:szCs w:val="28"/>
        </w:rPr>
        <w:t xml:space="preserve">    “海洋科学（化学、生物与地质海洋方向）”专业学制4年，允许学</w:t>
      </w:r>
      <w:r>
        <w:rPr>
          <w:rFonts w:ascii="仿宋" w:eastAsia="仿宋" w:hAnsi="仿宋"/>
          <w:color w:val="000000"/>
          <w:sz w:val="28"/>
          <w:szCs w:val="28"/>
        </w:rPr>
        <w:lastRenderedPageBreak/>
        <w:t>生在修完本专业培养计划规定的16</w:t>
      </w:r>
      <w:r w:rsidR="00D81F33">
        <w:rPr>
          <w:rFonts w:ascii="仿宋" w:eastAsia="仿宋" w:hAnsi="仿宋" w:hint="eastAsia"/>
          <w:color w:val="000000"/>
          <w:sz w:val="28"/>
          <w:szCs w:val="28"/>
        </w:rPr>
        <w:t>5</w:t>
      </w:r>
      <w:r>
        <w:rPr>
          <w:rFonts w:ascii="仿宋" w:eastAsia="仿宋" w:hAnsi="仿宋"/>
          <w:color w:val="000000"/>
          <w:sz w:val="28"/>
          <w:szCs w:val="28"/>
        </w:rPr>
        <w:t>学分后提前毕业，也允许延长学习年限，但一般不得超过六年。学生修读完本培养计划规定的课程及教学实践环节，取得规定的学分，完成毕业设计（论文），通过答辩，德智体考核合格，</w:t>
      </w:r>
      <w:r>
        <w:rPr>
          <w:rFonts w:ascii="仿宋" w:eastAsia="仿宋" w:hAnsi="仿宋"/>
          <w:color w:val="333333"/>
          <w:sz w:val="28"/>
          <w:szCs w:val="28"/>
        </w:rPr>
        <w:t>并通过游泳技能达标测试，</w:t>
      </w:r>
      <w:r>
        <w:rPr>
          <w:rFonts w:ascii="仿宋" w:eastAsia="仿宋" w:hAnsi="仿宋"/>
          <w:color w:val="000000"/>
          <w:sz w:val="28"/>
          <w:szCs w:val="28"/>
        </w:rPr>
        <w:t>按照《中华人民共和国学位条例》规定的条件授予理学学士学位。</w:t>
      </w:r>
    </w:p>
    <w:p w14:paraId="1CD3CC24" w14:textId="77777777" w:rsidR="00635AD0" w:rsidRDefault="00635AD0">
      <w:pPr>
        <w:snapToGrid w:val="0"/>
        <w:spacing w:before="60" w:after="60" w:line="480" w:lineRule="exact"/>
        <w:jc w:val="left"/>
        <w:rPr>
          <w:rFonts w:ascii="仿宋" w:eastAsia="仿宋" w:hAnsi="仿宋"/>
          <w:color w:val="333333"/>
          <w:sz w:val="22"/>
        </w:rPr>
      </w:pPr>
      <w:bookmarkStart w:id="0" w:name="_GoBack"/>
      <w:bookmarkEnd w:id="0"/>
    </w:p>
    <w:sectPr w:rsidR="00635AD0">
      <w:pgSz w:w="11906" w:h="16838"/>
      <w:pgMar w:top="1361" w:right="1417" w:bottom="1361"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5BCB0" w14:textId="77777777" w:rsidR="00341431" w:rsidRDefault="00341431" w:rsidP="008B09A6">
      <w:r>
        <w:separator/>
      </w:r>
    </w:p>
  </w:endnote>
  <w:endnote w:type="continuationSeparator" w:id="0">
    <w:p w14:paraId="2DC29FE7" w14:textId="77777777" w:rsidR="00341431" w:rsidRDefault="00341431" w:rsidP="008B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C1927" w14:textId="77777777" w:rsidR="00341431" w:rsidRDefault="00341431" w:rsidP="008B09A6">
      <w:r>
        <w:separator/>
      </w:r>
    </w:p>
  </w:footnote>
  <w:footnote w:type="continuationSeparator" w:id="0">
    <w:p w14:paraId="18EE8A91" w14:textId="77777777" w:rsidR="00341431" w:rsidRDefault="00341431" w:rsidP="008B0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15:restartNumberingAfterBreak="0">
    <w:nsid w:val="6CB104DC"/>
    <w:multiLevelType w:val="multilevel"/>
    <w:tmpl w:val="3FA86516"/>
    <w:lvl w:ilvl="0">
      <w:start w:val="1"/>
      <w:numFmt w:val="chineseCountingThousand"/>
      <w:lvlText w:val="%1、"/>
      <w:lvlJc w:val="left"/>
      <w:pPr>
        <w:ind w:left="420" w:hanging="420"/>
      </w:pPr>
      <w:rPr>
        <w:bCs/>
      </w:rPr>
    </w:lvl>
    <w:lvl w:ilvl="1">
      <w:start w:val="1"/>
      <w:numFmt w:val="decimal"/>
      <w:lvlText w:val="%2、"/>
      <w:lvlJc w:val="left"/>
      <w:pPr>
        <w:ind w:left="840" w:hanging="420"/>
      </w:pPr>
      <w:rPr>
        <w:bCs/>
      </w:rPr>
    </w:lvl>
    <w:lvl w:ilvl="2">
      <w:start w:val="1"/>
      <w:numFmt w:val="lowerLetter"/>
      <w:lvlText w:val="%3)"/>
      <w:lvlJc w:val="left"/>
      <w:pPr>
        <w:ind w:left="1260" w:hanging="420"/>
      </w:pPr>
      <w:rPr>
        <w:bCs/>
      </w:rPr>
    </w:lvl>
    <w:lvl w:ilvl="3">
      <w:start w:val="1"/>
      <w:numFmt w:val="chineseCountingThousand"/>
      <w:lvlText w:val="%4、"/>
      <w:lvlJc w:val="left"/>
      <w:pPr>
        <w:ind w:left="1680" w:hanging="420"/>
      </w:pPr>
      <w:rPr>
        <w:bCs/>
      </w:rPr>
    </w:lvl>
    <w:lvl w:ilvl="4">
      <w:start w:val="1"/>
      <w:numFmt w:val="decimal"/>
      <w:lvlText w:val="%5、"/>
      <w:lvlJc w:val="left"/>
      <w:pPr>
        <w:ind w:left="2100" w:hanging="420"/>
      </w:pPr>
      <w:rPr>
        <w:bCs/>
      </w:rPr>
    </w:lvl>
    <w:lvl w:ilvl="5">
      <w:start w:val="1"/>
      <w:numFmt w:val="lowerLetter"/>
      <w:lvlText w:val="%6)"/>
      <w:lvlJc w:val="left"/>
      <w:pPr>
        <w:ind w:left="2520" w:hanging="420"/>
      </w:pPr>
      <w:rPr>
        <w:bCs/>
      </w:rPr>
    </w:lvl>
    <w:lvl w:ilvl="6">
      <w:start w:val="1"/>
      <w:numFmt w:val="chineseCountingThousand"/>
      <w:lvlText w:val="%7、"/>
      <w:lvlJc w:val="left"/>
      <w:pPr>
        <w:ind w:left="2940" w:hanging="420"/>
      </w:pPr>
      <w:rPr>
        <w:bCs/>
      </w:rPr>
    </w:lvl>
    <w:lvl w:ilvl="7">
      <w:start w:val="1"/>
      <w:numFmt w:val="decimal"/>
      <w:lvlText w:val="%8、"/>
      <w:lvlJc w:val="left"/>
      <w:pPr>
        <w:ind w:left="3360" w:hanging="420"/>
      </w:pPr>
      <w:rPr>
        <w:bCs/>
      </w:rPr>
    </w:lvl>
    <w:lvl w:ilvl="8">
      <w:numFmt w:val="decimal"/>
      <w:lvlText w:val=""/>
      <w:lvlJc w:val="left"/>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1A"/>
    <w:rsid w:val="000C51B7"/>
    <w:rsid w:val="000E4E60"/>
    <w:rsid w:val="00216EB9"/>
    <w:rsid w:val="00341431"/>
    <w:rsid w:val="0059531B"/>
    <w:rsid w:val="00616505"/>
    <w:rsid w:val="0062213C"/>
    <w:rsid w:val="00633F40"/>
    <w:rsid w:val="00635AD0"/>
    <w:rsid w:val="006549AD"/>
    <w:rsid w:val="00684D9C"/>
    <w:rsid w:val="006B2414"/>
    <w:rsid w:val="008B09A6"/>
    <w:rsid w:val="00A60633"/>
    <w:rsid w:val="00BA0C1A"/>
    <w:rsid w:val="00C061CB"/>
    <w:rsid w:val="00C604EC"/>
    <w:rsid w:val="00D81F33"/>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shapedefaults>
    <o:shapelayout v:ext="edit">
      <o:idmap v:ext="edit" data="2"/>
    </o:shapelayout>
  </w:shapeDefaults>
  <w:decimalSymbol w:val="."/>
  <w:listSeparator w:val=","/>
  <w14:docId w14:val="58D207B7"/>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rsid w:val="001C768A"/>
    <w:pPr>
      <w:keepNext/>
      <w:keepLines/>
      <w:spacing w:line="408" w:lineRule="auto"/>
      <w:jc w:val="left"/>
      <w:outlineLvl w:val="0"/>
    </w:pPr>
    <w:rPr>
      <w:b/>
      <w:bCs/>
      <w:color w:val="1A1A1A"/>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 w:type="paragraph" w:styleId="a9">
    <w:name w:val="Title"/>
    <w:basedOn w:val="a"/>
    <w:next w:val="a"/>
    <w:uiPriority w:val="10"/>
    <w:qFormat/>
    <w:rsid w:val="001C768A"/>
    <w:pPr>
      <w:spacing w:line="480" w:lineRule="auto"/>
      <w:jc w:val="center"/>
      <w:outlineLvl w:val="0"/>
    </w:pPr>
    <w:rPr>
      <w:rFonts w:asciiTheme="majorHAnsi" w:eastAsiaTheme="majorEastAsia" w:hAnsiTheme="majorHAnsi" w:cstheme="majorBidi"/>
      <w:b/>
      <w:bCs/>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CDD55B-9759-4D4C-868F-8D5B3882DF8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293</Words>
  <Characters>1674</Characters>
  <Application>Microsoft Office Word</Application>
  <DocSecurity>0</DocSecurity>
  <Lines>13</Lines>
  <Paragraphs>3</Paragraphs>
  <ScaleCrop>false</ScaleCrop>
  <Company>Microsoft</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shenkaicheng</cp:lastModifiedBy>
  <cp:revision>12</cp:revision>
  <dcterms:created xsi:type="dcterms:W3CDTF">2017-01-10T09:10:00Z</dcterms:created>
  <dcterms:modified xsi:type="dcterms:W3CDTF">2023-09-12T09:12:00Z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